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96597"/>
      <w:bookmarkStart w:id="1" w:name="_Toc15377425"/>
      <w:bookmarkStart w:id="2" w:name="_Toc15396475"/>
      <w:bookmarkStart w:id="3" w:name="_Toc15377193"/>
      <w:bookmarkStart w:id="4" w:name="_Toc15378441"/>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77426"/>
      <w:bookmarkStart w:id="8" w:name="_Toc15378442"/>
      <w:bookmarkStart w:id="9" w:name="_Toc15396476"/>
      <w:bookmarkStart w:id="10" w:name="_Toc15396598"/>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val="en-US" w:eastAsia="zh-CN"/>
        </w:rPr>
        <w:t>雅安市水利局</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sdt>
      <w:sdtPr>
        <w:rPr>
          <w:rFonts w:ascii="宋体" w:hAnsi="宋体" w:eastAsia="宋体" w:cs="Times New Roman"/>
          <w:kern w:val="2"/>
          <w:sz w:val="21"/>
          <w:szCs w:val="24"/>
          <w:lang w:val="en-US" w:eastAsia="zh-CN" w:bidi="ar-SA"/>
        </w:rPr>
        <w:id w:val="147476134"/>
        <w:docPartObj>
          <w:docPartGallery w:val="Table of Contents"/>
          <w:docPartUnique/>
        </w:docPartObj>
      </w:sdtPr>
      <w:sdtEndPr>
        <w:rPr>
          <w:rFonts w:hint="eastAsia" w:ascii="黑体" w:hAnsi="黑体" w:eastAsia="黑体" w:cstheme="maj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2" w:name="_Toc21177_WPSOffice_Type3"/>
          <w:r>
            <w:rPr>
              <w:rFonts w:ascii="宋体" w:hAnsi="宋体" w:eastAsia="宋体"/>
              <w:sz w:val="21"/>
            </w:rPr>
            <w:t>目录</w:t>
          </w:r>
        </w:p>
        <w:p>
          <w:pPr>
            <w:pStyle w:val="32"/>
            <w:tabs>
              <w:tab w:val="right" w:leader="dot" w:pos="8306"/>
            </w:tabs>
          </w:pPr>
          <w:r>
            <w:fldChar w:fldCharType="begin"/>
          </w:r>
          <w:r>
            <w:instrText xml:space="preserve"> HYPERLINK \l _Toc8974_WPSOffice_Level1 </w:instrText>
          </w:r>
          <w:r>
            <w:fldChar w:fldCharType="separate"/>
          </w:r>
          <w:sdt>
            <w:sdtPr>
              <w:rPr>
                <w:rFonts w:ascii="Times New Roman" w:hAnsi="Times New Roman" w:eastAsia="宋体" w:cs="Times New Roman"/>
                <w:kern w:val="2"/>
                <w:sz w:val="21"/>
                <w:szCs w:val="24"/>
                <w:lang w:val="en-US" w:eastAsia="zh-CN" w:bidi="ar-SA"/>
              </w:rPr>
              <w:id w:val="147476134"/>
              <w:placeholder>
                <w:docPart w:val="{4c9abb71-6b2e-472b-9212-e9de26d03038}"/>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第一部分 部门概况</w:t>
              </w:r>
            </w:sdtContent>
          </w:sdt>
          <w:r>
            <w:tab/>
          </w:r>
          <w:bookmarkStart w:id="13" w:name="_Toc8974_WPSOffice_Level1Page"/>
          <w:r>
            <w:t>4</w:t>
          </w:r>
          <w:bookmarkEnd w:id="13"/>
          <w:r>
            <w:fldChar w:fldCharType="end"/>
          </w:r>
        </w:p>
        <w:p>
          <w:pPr>
            <w:pStyle w:val="33"/>
            <w:tabs>
              <w:tab w:val="right" w:leader="dot" w:pos="8306"/>
            </w:tabs>
          </w:pPr>
          <w:r>
            <w:fldChar w:fldCharType="begin"/>
          </w:r>
          <w:r>
            <w:instrText xml:space="preserve"> HYPERLINK \l _Toc21177_WPSOffice_Level2 </w:instrText>
          </w:r>
          <w:r>
            <w:fldChar w:fldCharType="separate"/>
          </w:r>
          <w:sdt>
            <w:sdtPr>
              <w:rPr>
                <w:rFonts w:ascii="Times New Roman" w:hAnsi="Times New Roman" w:eastAsia="宋体" w:cs="Times New Roman"/>
                <w:kern w:val="2"/>
                <w:sz w:val="21"/>
                <w:szCs w:val="24"/>
                <w:lang w:val="en-US" w:eastAsia="zh-CN" w:bidi="ar-SA"/>
              </w:rPr>
              <w:id w:val="147476134"/>
              <w:placeholder>
                <w:docPart w:val="{9ee4b8eb-1412-4e58-8a27-19c1b10be1a3}"/>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一、基本职能及主要工作</w:t>
              </w:r>
            </w:sdtContent>
          </w:sdt>
          <w:r>
            <w:tab/>
          </w:r>
          <w:bookmarkStart w:id="14" w:name="_Toc21177_WPSOffice_Level2Page"/>
          <w:r>
            <w:t>4</w:t>
          </w:r>
          <w:bookmarkEnd w:id="14"/>
          <w:r>
            <w:fldChar w:fldCharType="end"/>
          </w:r>
        </w:p>
        <w:p>
          <w:pPr>
            <w:pStyle w:val="33"/>
            <w:tabs>
              <w:tab w:val="right" w:leader="dot" w:pos="8306"/>
            </w:tabs>
          </w:pPr>
          <w:r>
            <w:fldChar w:fldCharType="begin"/>
          </w:r>
          <w:r>
            <w:instrText xml:space="preserve"> HYPERLINK \l _Toc13202_WPSOffice_Level2 </w:instrText>
          </w:r>
          <w:r>
            <w:fldChar w:fldCharType="separate"/>
          </w:r>
          <w:sdt>
            <w:sdtPr>
              <w:rPr>
                <w:rFonts w:ascii="Times New Roman" w:hAnsi="Times New Roman" w:eastAsia="宋体" w:cs="Times New Roman"/>
                <w:kern w:val="2"/>
                <w:sz w:val="21"/>
                <w:szCs w:val="24"/>
                <w:lang w:val="en-US" w:eastAsia="zh-CN" w:bidi="ar-SA"/>
              </w:rPr>
              <w:id w:val="147476134"/>
              <w:placeholder>
                <w:docPart w:val="{3cc842fb-0074-4444-b448-41d6185fe1bc}"/>
              </w:placeholder>
            </w:sdtPr>
            <w:sdtEndPr>
              <w:rPr>
                <w:rFonts w:ascii="Times New Roman" w:hAnsi="Times New Roman" w:eastAsia="宋体" w:cs="Times New Roman"/>
                <w:kern w:val="2"/>
                <w:sz w:val="21"/>
                <w:szCs w:val="24"/>
                <w:lang w:val="en-US" w:eastAsia="zh-CN" w:bidi="ar-SA"/>
              </w:rPr>
            </w:sdtEndPr>
            <w:sdtContent>
              <w:r>
                <w:rPr>
                  <w:rFonts w:hint="eastAsia" w:ascii="黑体" w:eastAsia="黑体" w:hAnsiTheme="majorHAnsi" w:cstheme="majorBidi"/>
                </w:rPr>
                <w:t>二、</w:t>
              </w:r>
              <w:r>
                <w:rPr>
                  <w:rFonts w:hint="eastAsia" w:ascii="黑体" w:hAnsi="黑体" w:eastAsia="黑体" w:cstheme="majorBidi"/>
                </w:rPr>
                <w:t>机构设置</w:t>
              </w:r>
            </w:sdtContent>
          </w:sdt>
          <w:r>
            <w:tab/>
          </w:r>
          <w:bookmarkStart w:id="15" w:name="_Toc13202_WPSOffice_Level2Page"/>
          <w:r>
            <w:t>10</w:t>
          </w:r>
          <w:bookmarkEnd w:id="15"/>
          <w:r>
            <w:fldChar w:fldCharType="end"/>
          </w:r>
        </w:p>
        <w:p>
          <w:pPr>
            <w:pStyle w:val="32"/>
            <w:tabs>
              <w:tab w:val="right" w:leader="dot" w:pos="8306"/>
            </w:tabs>
          </w:pPr>
          <w:r>
            <w:fldChar w:fldCharType="begin"/>
          </w:r>
          <w:r>
            <w:instrText xml:space="preserve"> HYPERLINK \l _Toc21177_WPSOffice_Level1 </w:instrText>
          </w:r>
          <w:r>
            <w:fldChar w:fldCharType="separate"/>
          </w:r>
          <w:sdt>
            <w:sdtPr>
              <w:rPr>
                <w:rFonts w:ascii="Times New Roman" w:hAnsi="Times New Roman" w:eastAsia="宋体" w:cs="Times New Roman"/>
                <w:kern w:val="2"/>
                <w:sz w:val="21"/>
                <w:szCs w:val="24"/>
                <w:lang w:val="en-US" w:eastAsia="zh-CN" w:bidi="ar-SA"/>
              </w:rPr>
              <w:id w:val="147476134"/>
              <w:placeholder>
                <w:docPart w:val="{9fff26c1-df8f-46b4-8df5-dff1202f8f8c}"/>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第二部分 2021年度部门决算情况说明</w:t>
              </w:r>
            </w:sdtContent>
          </w:sdt>
          <w:r>
            <w:tab/>
          </w:r>
          <w:bookmarkStart w:id="16" w:name="_Toc21177_WPSOffice_Level1Page"/>
          <w:r>
            <w:t>11</w:t>
          </w:r>
          <w:bookmarkEnd w:id="16"/>
          <w:r>
            <w:fldChar w:fldCharType="end"/>
          </w:r>
        </w:p>
        <w:p>
          <w:pPr>
            <w:pStyle w:val="33"/>
            <w:tabs>
              <w:tab w:val="right" w:leader="dot" w:pos="8306"/>
            </w:tabs>
          </w:pPr>
          <w:r>
            <w:fldChar w:fldCharType="begin"/>
          </w:r>
          <w:r>
            <w:instrText xml:space="preserve"> HYPERLINK \l _Toc17486_WPSOffice_Level2 </w:instrText>
          </w:r>
          <w:r>
            <w:fldChar w:fldCharType="separate"/>
          </w:r>
          <w:sdt>
            <w:sdtPr>
              <w:rPr>
                <w:rFonts w:ascii="Times New Roman" w:hAnsi="Times New Roman" w:eastAsia="宋体" w:cs="Times New Roman"/>
                <w:kern w:val="2"/>
                <w:sz w:val="21"/>
                <w:szCs w:val="24"/>
                <w:lang w:val="en-US" w:eastAsia="zh-CN" w:bidi="ar-SA"/>
              </w:rPr>
              <w:id w:val="147476134"/>
              <w:placeholder>
                <w:docPart w:val="{df9eefcc-74e5-4d42-b93f-33a807491c6f}"/>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一、 </w:t>
              </w:r>
              <w:r>
                <w:rPr>
                  <w:rFonts w:hint="eastAsia" w:ascii="黑体" w:hAnsi="黑体" w:eastAsia="黑体" w:cs="Times New Roman"/>
                </w:rPr>
                <w:t>收</w:t>
              </w:r>
              <w:r>
                <w:rPr>
                  <w:rFonts w:hint="eastAsia" w:ascii="黑体" w:hAnsi="黑体" w:eastAsia="黑体" w:cstheme="majorBidi"/>
                </w:rPr>
                <w:t>入支出决算总体情况说明</w:t>
              </w:r>
            </w:sdtContent>
          </w:sdt>
          <w:r>
            <w:tab/>
          </w:r>
          <w:bookmarkStart w:id="17" w:name="_Toc17486_WPSOffice_Level2Page"/>
          <w:r>
            <w:t>11</w:t>
          </w:r>
          <w:bookmarkEnd w:id="17"/>
          <w:r>
            <w:fldChar w:fldCharType="end"/>
          </w:r>
        </w:p>
        <w:p>
          <w:pPr>
            <w:pStyle w:val="33"/>
            <w:tabs>
              <w:tab w:val="right" w:leader="dot" w:pos="8306"/>
            </w:tabs>
          </w:pPr>
          <w:r>
            <w:fldChar w:fldCharType="begin"/>
          </w:r>
          <w:r>
            <w:instrText xml:space="preserve"> HYPERLINK \l _Toc5553_WPSOffice_Level2 </w:instrText>
          </w:r>
          <w:r>
            <w:fldChar w:fldCharType="separate"/>
          </w:r>
          <w:sdt>
            <w:sdtPr>
              <w:rPr>
                <w:rFonts w:ascii="Times New Roman" w:hAnsi="Times New Roman" w:eastAsia="宋体" w:cs="Times New Roman"/>
                <w:kern w:val="2"/>
                <w:sz w:val="21"/>
                <w:szCs w:val="24"/>
                <w:lang w:val="en-US" w:eastAsia="zh-CN" w:bidi="ar-SA"/>
              </w:rPr>
              <w:id w:val="147476134"/>
              <w:placeholder>
                <w:docPart w:val="{156830a1-060c-411d-a060-515387a259be}"/>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二、 </w:t>
              </w:r>
              <w:r>
                <w:rPr>
                  <w:rFonts w:hint="eastAsia" w:ascii="黑体" w:hAnsi="黑体" w:eastAsia="黑体" w:cs="Times New Roman"/>
                </w:rPr>
                <w:t>收</w:t>
              </w:r>
              <w:r>
                <w:rPr>
                  <w:rFonts w:hint="eastAsia" w:ascii="黑体" w:hAnsi="黑体" w:eastAsia="黑体" w:cstheme="majorBidi"/>
                </w:rPr>
                <w:t>入决算情况说明</w:t>
              </w:r>
            </w:sdtContent>
          </w:sdt>
          <w:r>
            <w:tab/>
          </w:r>
          <w:bookmarkStart w:id="18" w:name="_Toc5553_WPSOffice_Level2Page"/>
          <w:r>
            <w:t>11</w:t>
          </w:r>
          <w:bookmarkEnd w:id="18"/>
          <w:r>
            <w:fldChar w:fldCharType="end"/>
          </w:r>
        </w:p>
        <w:p>
          <w:pPr>
            <w:pStyle w:val="33"/>
            <w:tabs>
              <w:tab w:val="right" w:leader="dot" w:pos="8306"/>
            </w:tabs>
          </w:pPr>
          <w:r>
            <w:fldChar w:fldCharType="begin"/>
          </w:r>
          <w:r>
            <w:instrText xml:space="preserve"> HYPERLINK \l _Toc32373_WPSOffice_Level2 </w:instrText>
          </w:r>
          <w:r>
            <w:fldChar w:fldCharType="separate"/>
          </w:r>
          <w:sdt>
            <w:sdtPr>
              <w:rPr>
                <w:rFonts w:ascii="Times New Roman" w:hAnsi="Times New Roman" w:eastAsia="宋体" w:cs="Times New Roman"/>
                <w:kern w:val="2"/>
                <w:sz w:val="21"/>
                <w:szCs w:val="24"/>
                <w:lang w:val="en-US" w:eastAsia="zh-CN" w:bidi="ar-SA"/>
              </w:rPr>
              <w:id w:val="147476134"/>
              <w:placeholder>
                <w:docPart w:val="{924aa230-8ae3-44a4-8cbd-f159a5f055a9}"/>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三、 </w:t>
              </w:r>
              <w:r>
                <w:rPr>
                  <w:rFonts w:hint="eastAsia" w:ascii="黑体" w:hAnsi="黑体" w:eastAsia="黑体" w:cs="Times New Roman"/>
                </w:rPr>
                <w:t>支</w:t>
              </w:r>
              <w:r>
                <w:rPr>
                  <w:rFonts w:hint="eastAsia" w:ascii="黑体" w:hAnsi="黑体" w:eastAsia="黑体" w:cstheme="majorBidi"/>
                </w:rPr>
                <w:t>出决算情况说明</w:t>
              </w:r>
            </w:sdtContent>
          </w:sdt>
          <w:r>
            <w:tab/>
          </w:r>
          <w:bookmarkStart w:id="19" w:name="_Toc32373_WPSOffice_Level2Page"/>
          <w:r>
            <w:t>12</w:t>
          </w:r>
          <w:bookmarkEnd w:id="19"/>
          <w:r>
            <w:fldChar w:fldCharType="end"/>
          </w:r>
        </w:p>
        <w:p>
          <w:pPr>
            <w:pStyle w:val="33"/>
            <w:tabs>
              <w:tab w:val="right" w:leader="dot" w:pos="8306"/>
            </w:tabs>
          </w:pPr>
          <w:r>
            <w:fldChar w:fldCharType="begin"/>
          </w:r>
          <w:r>
            <w:instrText xml:space="preserve"> HYPERLINK \l _Toc13904_WPSOffice_Level2 </w:instrText>
          </w:r>
          <w:r>
            <w:fldChar w:fldCharType="separate"/>
          </w:r>
          <w:sdt>
            <w:sdtPr>
              <w:rPr>
                <w:rFonts w:ascii="Times New Roman" w:hAnsi="Times New Roman" w:eastAsia="宋体" w:cs="Times New Roman"/>
                <w:kern w:val="2"/>
                <w:sz w:val="21"/>
                <w:szCs w:val="24"/>
                <w:lang w:val="en-US" w:eastAsia="zh-CN" w:bidi="ar-SA"/>
              </w:rPr>
              <w:id w:val="147476134"/>
              <w:placeholder>
                <w:docPart w:val="{cdbd17c8-88f5-4fd9-aebd-5a267e11b26f}"/>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bookmarkStart w:id="20" w:name="_Toc13904_WPSOffice_Level2Page"/>
          <w:r>
            <w:t>12</w:t>
          </w:r>
          <w:bookmarkEnd w:id="20"/>
          <w:r>
            <w:fldChar w:fldCharType="end"/>
          </w:r>
        </w:p>
        <w:p>
          <w:pPr>
            <w:pStyle w:val="33"/>
            <w:tabs>
              <w:tab w:val="right" w:leader="dot" w:pos="8306"/>
            </w:tabs>
          </w:pPr>
          <w:r>
            <w:fldChar w:fldCharType="begin"/>
          </w:r>
          <w:r>
            <w:instrText xml:space="preserve"> HYPERLINK \l _Toc23930_WPSOffice_Level2 </w:instrText>
          </w:r>
          <w:r>
            <w:fldChar w:fldCharType="separate"/>
          </w:r>
          <w:sdt>
            <w:sdtPr>
              <w:rPr>
                <w:rFonts w:ascii="Times New Roman" w:hAnsi="Times New Roman" w:eastAsia="宋体" w:cs="Times New Roman"/>
                <w:kern w:val="2"/>
                <w:sz w:val="21"/>
                <w:szCs w:val="24"/>
                <w:lang w:val="en-US" w:eastAsia="zh-CN" w:bidi="ar-SA"/>
              </w:rPr>
              <w:id w:val="147476134"/>
              <w:placeholder>
                <w:docPart w:val="{5c675590-b880-40e8-87b2-64a16fb30578}"/>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五、一</w:t>
              </w:r>
              <w:r>
                <w:rPr>
                  <w:rFonts w:hint="eastAsia" w:ascii="黑体" w:hAnsi="黑体" w:eastAsia="黑体" w:cstheme="majorBidi"/>
                </w:rPr>
                <w:t>般公共预算财政拨款支出决算情况说明</w:t>
              </w:r>
            </w:sdtContent>
          </w:sdt>
          <w:r>
            <w:tab/>
          </w:r>
          <w:bookmarkStart w:id="21" w:name="_Toc23930_WPSOffice_Level2Page"/>
          <w:r>
            <w:t>13</w:t>
          </w:r>
          <w:bookmarkEnd w:id="21"/>
          <w:r>
            <w:fldChar w:fldCharType="end"/>
          </w:r>
        </w:p>
        <w:p>
          <w:pPr>
            <w:pStyle w:val="33"/>
            <w:tabs>
              <w:tab w:val="right" w:leader="dot" w:pos="8306"/>
            </w:tabs>
          </w:pPr>
          <w:r>
            <w:fldChar w:fldCharType="begin"/>
          </w:r>
          <w:r>
            <w:instrText xml:space="preserve"> HYPERLINK \l _Toc19518_WPSOffice_Level2 </w:instrText>
          </w:r>
          <w:r>
            <w:fldChar w:fldCharType="separate"/>
          </w:r>
          <w:sdt>
            <w:sdtPr>
              <w:rPr>
                <w:rFonts w:ascii="Times New Roman" w:hAnsi="Times New Roman" w:eastAsia="宋体" w:cs="Times New Roman"/>
                <w:kern w:val="2"/>
                <w:sz w:val="21"/>
                <w:szCs w:val="24"/>
                <w:lang w:val="en-US" w:eastAsia="zh-CN" w:bidi="ar-SA"/>
              </w:rPr>
              <w:id w:val="147476134"/>
              <w:placeholder>
                <w:docPart w:val="{ae53d68a-ea91-42ac-b807-d8bf87f7805a}"/>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w:t>
              </w:r>
              <w:r>
                <w:rPr>
                  <w:rFonts w:hint="eastAsia" w:ascii="黑体" w:hAnsi="黑体" w:eastAsia="黑体" w:cstheme="majorBidi"/>
                </w:rPr>
                <w:t>般公共预算财政拨款基本支出决算情况说明</w:t>
              </w:r>
            </w:sdtContent>
          </w:sdt>
          <w:r>
            <w:tab/>
          </w:r>
          <w:bookmarkStart w:id="22" w:name="_Toc19518_WPSOffice_Level2Page"/>
          <w:r>
            <w:t>17</w:t>
          </w:r>
          <w:bookmarkEnd w:id="22"/>
          <w:r>
            <w:fldChar w:fldCharType="end"/>
          </w:r>
        </w:p>
        <w:p>
          <w:pPr>
            <w:pStyle w:val="33"/>
            <w:tabs>
              <w:tab w:val="right" w:leader="dot" w:pos="8306"/>
            </w:tabs>
          </w:pPr>
          <w:r>
            <w:fldChar w:fldCharType="begin"/>
          </w:r>
          <w:r>
            <w:instrText xml:space="preserve"> HYPERLINK \l _Toc8662_WPSOffice_Level2 </w:instrText>
          </w:r>
          <w:r>
            <w:fldChar w:fldCharType="separate"/>
          </w:r>
          <w:sdt>
            <w:sdtPr>
              <w:rPr>
                <w:rFonts w:ascii="Times New Roman" w:hAnsi="Times New Roman" w:eastAsia="宋体" w:cs="Times New Roman"/>
                <w:kern w:val="2"/>
                <w:sz w:val="21"/>
                <w:szCs w:val="24"/>
                <w:lang w:val="en-US" w:eastAsia="zh-CN" w:bidi="ar-SA"/>
              </w:rPr>
              <w:id w:val="147476134"/>
              <w:placeholder>
                <w:docPart w:val="{18d7a83d-06f2-4750-b6c9-929089da0dec}"/>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“三公”经费财政拨款支出决算情况说明</w:t>
              </w:r>
            </w:sdtContent>
          </w:sdt>
          <w:r>
            <w:tab/>
          </w:r>
          <w:bookmarkStart w:id="23" w:name="_Toc8662_WPSOffice_Level2Page"/>
          <w:r>
            <w:t>18</w:t>
          </w:r>
          <w:bookmarkEnd w:id="23"/>
          <w:r>
            <w:fldChar w:fldCharType="end"/>
          </w:r>
        </w:p>
        <w:p>
          <w:pPr>
            <w:pStyle w:val="33"/>
            <w:tabs>
              <w:tab w:val="right" w:leader="dot" w:pos="8306"/>
            </w:tabs>
          </w:pPr>
          <w:r>
            <w:fldChar w:fldCharType="begin"/>
          </w:r>
          <w:r>
            <w:instrText xml:space="preserve"> HYPERLINK \l _Toc3923_WPSOffice_Level2 </w:instrText>
          </w:r>
          <w:r>
            <w:fldChar w:fldCharType="separate"/>
          </w:r>
          <w:sdt>
            <w:sdtPr>
              <w:rPr>
                <w:rFonts w:ascii="Times New Roman" w:hAnsi="Times New Roman" w:eastAsia="宋体" w:cs="Times New Roman"/>
                <w:kern w:val="2"/>
                <w:sz w:val="21"/>
                <w:szCs w:val="24"/>
                <w:lang w:val="en-US" w:eastAsia="zh-CN" w:bidi="ar-SA"/>
              </w:rPr>
              <w:id w:val="147476134"/>
              <w:placeholder>
                <w:docPart w:val="{82775324-32fb-48a1-b305-1422a19965e2}"/>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bookmarkStart w:id="24" w:name="_Toc3923_WPSOffice_Level2Page"/>
          <w:r>
            <w:t>20</w:t>
          </w:r>
          <w:bookmarkEnd w:id="24"/>
          <w:r>
            <w:fldChar w:fldCharType="end"/>
          </w:r>
        </w:p>
        <w:p>
          <w:pPr>
            <w:pStyle w:val="33"/>
            <w:tabs>
              <w:tab w:val="right" w:leader="dot" w:pos="8306"/>
            </w:tabs>
          </w:pPr>
          <w:r>
            <w:fldChar w:fldCharType="begin"/>
          </w:r>
          <w:r>
            <w:instrText xml:space="preserve"> HYPERLINK \l _Toc16449_WPSOffice_Level2 </w:instrText>
          </w:r>
          <w:r>
            <w:fldChar w:fldCharType="separate"/>
          </w:r>
          <w:sdt>
            <w:sdtPr>
              <w:rPr>
                <w:rFonts w:ascii="Times New Roman" w:hAnsi="Times New Roman" w:eastAsia="宋体" w:cs="Times New Roman"/>
                <w:kern w:val="2"/>
                <w:sz w:val="21"/>
                <w:szCs w:val="24"/>
                <w:lang w:val="en-US" w:eastAsia="zh-CN" w:bidi="ar-SA"/>
              </w:rPr>
              <w:id w:val="147476134"/>
              <w:placeholder>
                <w:docPart w:val="{dec555d5-cd4c-4738-ae2e-0adca236628a}"/>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九、 国有资本经营预算支出决算情况说明</w:t>
              </w:r>
            </w:sdtContent>
          </w:sdt>
          <w:r>
            <w:tab/>
          </w:r>
          <w:bookmarkStart w:id="25" w:name="_Toc16449_WPSOffice_Level2Page"/>
          <w:r>
            <w:t>20</w:t>
          </w:r>
          <w:bookmarkEnd w:id="25"/>
          <w:r>
            <w:fldChar w:fldCharType="end"/>
          </w:r>
        </w:p>
        <w:p>
          <w:pPr>
            <w:pStyle w:val="33"/>
            <w:tabs>
              <w:tab w:val="right" w:leader="dot" w:pos="8306"/>
            </w:tabs>
          </w:pPr>
          <w:r>
            <w:fldChar w:fldCharType="begin"/>
          </w:r>
          <w:r>
            <w:instrText xml:space="preserve"> HYPERLINK \l _Toc13494_WPSOffice_Level2 </w:instrText>
          </w:r>
          <w:r>
            <w:fldChar w:fldCharType="separate"/>
          </w:r>
          <w:sdt>
            <w:sdtPr>
              <w:rPr>
                <w:rFonts w:ascii="Times New Roman" w:hAnsi="Times New Roman" w:eastAsia="宋体" w:cs="Times New Roman"/>
                <w:kern w:val="2"/>
                <w:sz w:val="21"/>
                <w:szCs w:val="24"/>
                <w:lang w:val="en-US" w:eastAsia="zh-CN" w:bidi="ar-SA"/>
              </w:rPr>
              <w:id w:val="147476134"/>
              <w:placeholder>
                <w:docPart w:val="{94308e7f-6e31-4626-9b79-777977acf404}"/>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十、 其他重要事项的情况说明</w:t>
              </w:r>
            </w:sdtContent>
          </w:sdt>
          <w:r>
            <w:tab/>
          </w:r>
          <w:bookmarkStart w:id="26" w:name="_Toc13494_WPSOffice_Level2Page"/>
          <w:r>
            <w:t>20</w:t>
          </w:r>
          <w:bookmarkEnd w:id="26"/>
          <w:r>
            <w:fldChar w:fldCharType="end"/>
          </w:r>
        </w:p>
        <w:p>
          <w:pPr>
            <w:pStyle w:val="32"/>
            <w:tabs>
              <w:tab w:val="right" w:leader="dot" w:pos="8306"/>
            </w:tabs>
          </w:pPr>
          <w:r>
            <w:fldChar w:fldCharType="begin"/>
          </w:r>
          <w:r>
            <w:instrText xml:space="preserve"> HYPERLINK \l _Toc13202_WPSOffice_Level1 </w:instrText>
          </w:r>
          <w:r>
            <w:fldChar w:fldCharType="separate"/>
          </w:r>
          <w:sdt>
            <w:sdtPr>
              <w:rPr>
                <w:rFonts w:ascii="Times New Roman" w:hAnsi="Times New Roman" w:eastAsia="宋体" w:cs="Times New Roman"/>
                <w:kern w:val="2"/>
                <w:sz w:val="21"/>
                <w:szCs w:val="24"/>
                <w:lang w:val="en-US" w:eastAsia="zh-CN" w:bidi="ar-SA"/>
              </w:rPr>
              <w:id w:val="147476134"/>
              <w:placeholder>
                <w:docPart w:val="{92444e3e-e5a9-480a-a0be-585b37222198}"/>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第三部分 名词解释</w:t>
              </w:r>
            </w:sdtContent>
          </w:sdt>
          <w:r>
            <w:tab/>
          </w:r>
          <w:bookmarkStart w:id="27" w:name="_Toc13202_WPSOffice_Level1Page"/>
          <w:r>
            <w:t>22</w:t>
          </w:r>
          <w:bookmarkEnd w:id="27"/>
          <w:r>
            <w:fldChar w:fldCharType="end"/>
          </w:r>
        </w:p>
        <w:p>
          <w:pPr>
            <w:pStyle w:val="32"/>
            <w:tabs>
              <w:tab w:val="right" w:leader="dot" w:pos="8306"/>
            </w:tabs>
          </w:pPr>
          <w:r>
            <w:fldChar w:fldCharType="begin"/>
          </w:r>
          <w:r>
            <w:instrText xml:space="preserve"> HYPERLINK \l _Toc17486_WPSOffice_Level1 </w:instrText>
          </w:r>
          <w:r>
            <w:fldChar w:fldCharType="separate"/>
          </w:r>
          <w:sdt>
            <w:sdtPr>
              <w:rPr>
                <w:rFonts w:ascii="Times New Roman" w:hAnsi="Times New Roman" w:eastAsia="宋体" w:cs="Times New Roman"/>
                <w:kern w:val="2"/>
                <w:sz w:val="21"/>
                <w:szCs w:val="24"/>
                <w:lang w:val="en-US" w:eastAsia="zh-CN" w:bidi="ar-SA"/>
              </w:rPr>
              <w:id w:val="147476134"/>
              <w:placeholder>
                <w:docPart w:val="{d4f0e336-682b-4790-a425-dd06a80c711e}"/>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第四部分 附件</w:t>
              </w:r>
            </w:sdtContent>
          </w:sdt>
          <w:r>
            <w:tab/>
          </w:r>
          <w:bookmarkStart w:id="28" w:name="_Toc17486_WPSOffice_Level1Page"/>
          <w:r>
            <w:t>26</w:t>
          </w:r>
          <w:bookmarkEnd w:id="28"/>
          <w:r>
            <w:fldChar w:fldCharType="end"/>
          </w:r>
        </w:p>
        <w:p>
          <w:pPr>
            <w:pStyle w:val="32"/>
            <w:tabs>
              <w:tab w:val="right" w:leader="dot" w:pos="8306"/>
            </w:tabs>
            <w:rPr>
              <w:rFonts w:hint="eastAsia" w:eastAsia="宋体"/>
              <w:lang w:val="en-US" w:eastAsia="zh-CN"/>
            </w:rPr>
          </w:pPr>
          <w:r>
            <w:fldChar w:fldCharType="begin"/>
          </w:r>
          <w:r>
            <w:instrText xml:space="preserve"> HYPERLINK \l _Toc19518_WPSOffice_Level1 </w:instrText>
          </w:r>
          <w:r>
            <w:fldChar w:fldCharType="separate"/>
          </w:r>
          <w:sdt>
            <w:sdtPr>
              <w:rPr>
                <w:rFonts w:ascii="Times New Roman" w:hAnsi="Times New Roman" w:eastAsia="宋体" w:cs="Times New Roman"/>
                <w:kern w:val="2"/>
                <w:sz w:val="21"/>
                <w:szCs w:val="24"/>
                <w:lang w:val="en-US" w:eastAsia="zh-CN" w:bidi="ar-SA"/>
              </w:rPr>
              <w:id w:val="147476134"/>
              <w:placeholder>
                <w:docPart w:val="{1b6e15f7-8a6e-4ff6-aaeb-97c653aff4df}"/>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第五部分 附表</w:t>
              </w:r>
            </w:sdtContent>
          </w:sdt>
          <w:r>
            <w:tab/>
          </w:r>
          <w:r>
            <w:rPr>
              <w:rFonts w:hint="eastAsia"/>
              <w:lang w:val="en-US" w:eastAsia="zh-CN"/>
            </w:rPr>
            <w:t>3</w:t>
          </w:r>
          <w:r>
            <w:fldChar w:fldCharType="end"/>
          </w:r>
          <w:r>
            <w:rPr>
              <w:rFonts w:hint="eastAsia"/>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_Toc18350_WPSOffice_Level2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d05e3dc7-97fa-47b7-abc7-295326dfe319}"/>
              </w:placeholder>
            </w:sdtPr>
            <w:sdtEndPr>
              <w:rPr>
                <w:rFonts w:hint="eastAsia" w:ascii="黑体" w:hAnsi="黑体" w:eastAsia="黑体" w:cstheme="majorBidi"/>
                <w:lang w:val="en-US" w:eastAsia="zh-CN"/>
              </w:rPr>
            </w:sdtEndPr>
            <w:sdtContent>
              <w:r>
                <w:rPr>
                  <w:rFonts w:hint="eastAsia" w:ascii="黑体" w:hAnsi="黑体" w:eastAsia="黑体" w:cstheme="majorBidi"/>
                </w:rPr>
                <w:t>一、收入支出决算总表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_Toc25063_WPSOffice_Level2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96e37fa2-edf2-4677-857a-14579a55fdc1}"/>
              </w:placeholder>
            </w:sdtPr>
            <w:sdtEndPr>
              <w:rPr>
                <w:rFonts w:hint="eastAsia" w:ascii="黑体" w:hAnsi="黑体" w:eastAsia="黑体" w:cstheme="majorBidi"/>
                <w:lang w:val="en-US" w:eastAsia="zh-CN"/>
              </w:rPr>
            </w:sdtEndPr>
            <w:sdtContent>
              <w:r>
                <w:rPr>
                  <w:rFonts w:hint="eastAsia" w:ascii="黑体" w:hAnsi="黑体" w:eastAsia="黑体" w:cstheme="majorBidi"/>
                </w:rPr>
                <w:t>二、收入决算表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_Toc30382_WPSOffice_Level2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796b8bdb-3d92-48fa-b269-ed88e0a5de1b}"/>
              </w:placeholder>
            </w:sdtPr>
            <w:sdtEndPr>
              <w:rPr>
                <w:rFonts w:hint="eastAsia" w:ascii="黑体" w:hAnsi="黑体" w:eastAsia="黑体" w:cstheme="majorBidi"/>
                <w:lang w:val="en-US" w:eastAsia="zh-CN"/>
              </w:rPr>
            </w:sdtEndPr>
            <w:sdtContent>
              <w:r>
                <w:rPr>
                  <w:rFonts w:hint="eastAsia" w:ascii="黑体" w:hAnsi="黑体" w:eastAsia="黑体" w:cstheme="majorBidi"/>
                </w:rPr>
                <w:t>三、支出决算表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_Toc6000_WPSOffice_Level2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2be05749-eda4-426a-816e-b8092f3bf868}"/>
              </w:placeholder>
            </w:sdtPr>
            <w:sdtEndPr>
              <w:rPr>
                <w:rFonts w:hint="eastAsia" w:ascii="黑体" w:hAnsi="黑体" w:eastAsia="黑体" w:cstheme="majorBidi"/>
                <w:lang w:val="en-US" w:eastAsia="zh-CN"/>
              </w:rPr>
            </w:sdtEndPr>
            <w:sdtContent>
              <w:r>
                <w:rPr>
                  <w:rFonts w:hint="eastAsia" w:ascii="黑体" w:hAnsi="黑体" w:eastAsia="黑体" w:cstheme="majorBidi"/>
                </w:rPr>
                <w:t>四、财政拨款收入支出决算总表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_Toc15259_WPSOffice_Level2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4688a16a-67bf-447f-a41a-b316d7c40742}"/>
              </w:placeholder>
            </w:sdtPr>
            <w:sdtEndPr>
              <w:rPr>
                <w:rFonts w:hint="eastAsia" w:ascii="黑体" w:hAnsi="黑体" w:eastAsia="黑体" w:cstheme="majorBidi"/>
                <w:lang w:val="en-US" w:eastAsia="zh-CN"/>
              </w:rPr>
            </w:sdtEndPr>
            <w:sdtContent>
              <w:r>
                <w:rPr>
                  <w:rFonts w:hint="eastAsia" w:ascii="黑体" w:hAnsi="黑体" w:eastAsia="黑体" w:cstheme="majorBidi"/>
                </w:rPr>
                <w:t>五、财政拨款支出决算明细表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_Toc4278_WPSOffice_Level2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2885d9b8-9af6-4dd5-bf71-dfc759dd359e}"/>
              </w:placeholder>
            </w:sdtPr>
            <w:sdtEndPr>
              <w:rPr>
                <w:rFonts w:hint="eastAsia" w:ascii="黑体" w:hAnsi="黑体" w:eastAsia="黑体" w:cstheme="majorBidi"/>
                <w:lang w:val="en-US" w:eastAsia="zh-CN"/>
              </w:rPr>
            </w:sdtEndPr>
            <w:sdtContent>
              <w:r>
                <w:rPr>
                  <w:rFonts w:hint="eastAsia" w:ascii="黑体" w:hAnsi="黑体" w:eastAsia="黑体" w:cstheme="majorBidi"/>
                </w:rPr>
                <w:t>六、一般公共预算财政拨款支出决算表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_Toc3514_WPSOffice_Level2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5d1f3010-b6c8-49ba-82bf-c7948d3a8e1c}"/>
              </w:placeholder>
            </w:sdtPr>
            <w:sdtEndPr>
              <w:rPr>
                <w:rFonts w:hint="eastAsia" w:ascii="黑体" w:hAnsi="黑体" w:eastAsia="黑体" w:cstheme="majorBidi"/>
                <w:lang w:val="en-US" w:eastAsia="zh-CN"/>
              </w:rPr>
            </w:sdtEndPr>
            <w:sdtContent>
              <w:r>
                <w:rPr>
                  <w:rFonts w:hint="eastAsia" w:ascii="黑体" w:hAnsi="黑体" w:eastAsia="黑体" w:cstheme="majorBidi"/>
                </w:rPr>
                <w:t>七、一般公共预算财政拨款支出决算明细表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_Toc7714_WPSOffice_Level2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6a11143a-5845-44c4-ae5c-f194262495b9}"/>
              </w:placeholder>
            </w:sdtPr>
            <w:sdtEndPr>
              <w:rPr>
                <w:rFonts w:hint="eastAsia" w:ascii="黑体" w:hAnsi="黑体" w:eastAsia="黑体" w:cstheme="majorBidi"/>
                <w:lang w:val="en-US" w:eastAsia="zh-CN"/>
              </w:rPr>
            </w:sdtEndPr>
            <w:sdtContent>
              <w:r>
                <w:rPr>
                  <w:rFonts w:hint="eastAsia" w:ascii="黑体" w:hAnsi="黑体" w:eastAsia="黑体" w:cstheme="majorBidi"/>
                </w:rPr>
                <w:t>八、一般公共预算财政拨款基本支出决算表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_Toc8512_WPSOffice_Level2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b2ee5647-38c1-4ed6-83ef-c1d059b68b99}"/>
              </w:placeholder>
            </w:sdtPr>
            <w:sdtEndPr>
              <w:rPr>
                <w:rFonts w:hint="eastAsia" w:ascii="黑体" w:hAnsi="黑体" w:eastAsia="黑体" w:cstheme="majorBidi"/>
                <w:lang w:val="en-US" w:eastAsia="zh-CN"/>
              </w:rPr>
            </w:sdtEndPr>
            <w:sdtContent>
              <w:r>
                <w:rPr>
                  <w:rFonts w:hint="eastAsia" w:ascii="黑体" w:hAnsi="黑体" w:eastAsia="黑体" w:cstheme="majorBidi"/>
                </w:rPr>
                <w:t>九、一般公共预算财政拨款项目支出决算表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_Toc23248_WPSOffice_Level2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df35b989-a0b3-4800-934f-df4b89edda67}"/>
              </w:placeholder>
            </w:sdtPr>
            <w:sdtEndPr>
              <w:rPr>
                <w:rFonts w:hint="eastAsia" w:ascii="黑体" w:hAnsi="黑体" w:eastAsia="黑体" w:cstheme="majorBidi"/>
                <w:lang w:val="en-US" w:eastAsia="zh-CN"/>
              </w:rPr>
            </w:sdtEndPr>
            <w:sdtContent>
              <w:r>
                <w:rPr>
                  <w:rFonts w:hint="eastAsia" w:ascii="黑体" w:hAnsi="黑体" w:eastAsia="黑体" w:cstheme="majorBidi"/>
                </w:rPr>
                <w:t>十、一般公共预算财政拨款“三公”经费支出决算表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_Toc1426_WPSOffice_Level2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f038fae2-16dd-439e-bef6-d08be0942077}"/>
              </w:placeholder>
            </w:sdtPr>
            <w:sdtEndPr>
              <w:rPr>
                <w:rFonts w:hint="eastAsia" w:ascii="黑体" w:hAnsi="黑体" w:eastAsia="黑体" w:cstheme="majorBidi"/>
                <w:lang w:val="en-US" w:eastAsia="zh-CN"/>
              </w:rPr>
            </w:sdtEndPr>
            <w:sdtContent>
              <w:r>
                <w:rPr>
                  <w:rFonts w:hint="eastAsia" w:ascii="黑体" w:hAnsi="黑体" w:eastAsia="黑体" w:cstheme="majorBidi"/>
                </w:rPr>
                <w:t>十一、政府性基金预算财政拨款收入支出决算表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_Toc24168_WPSOffice_Level2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2fea747c-af23-48c0-ad19-582bd6c1903f}"/>
              </w:placeholder>
            </w:sdtPr>
            <w:sdtEndPr>
              <w:rPr>
                <w:rFonts w:hint="eastAsia" w:ascii="黑体" w:hAnsi="黑体" w:eastAsia="黑体" w:cstheme="majorBidi"/>
                <w:lang w:val="en-US" w:eastAsia="zh-CN"/>
              </w:rPr>
            </w:sdtEndPr>
            <w:sdtContent>
              <w:r>
                <w:rPr>
                  <w:rFonts w:hint="eastAsia" w:ascii="黑体" w:hAnsi="黑体" w:eastAsia="黑体" w:cstheme="majorBidi"/>
                </w:rPr>
                <w:t>十二、政府性基金预算财政拨款“三公”经费支出决算表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lang w:val="en-US" w:eastAsia="zh-CN"/>
            </w:rPr>
          </w:pPr>
          <w:r>
            <w:rPr>
              <w:rFonts w:hint="eastAsia" w:ascii="黑体" w:hAnsi="黑体" w:eastAsia="黑体" w:cstheme="majorBidi"/>
            </w:rPr>
            <w:fldChar w:fldCharType="begin"/>
          </w:r>
          <w:r>
            <w:rPr>
              <w:rFonts w:hint="eastAsia" w:ascii="黑体" w:hAnsi="黑体" w:eastAsia="黑体" w:cstheme="majorBidi"/>
            </w:rPr>
            <w:instrText xml:space="preserve"> HYPERLINK \l _Toc27202_WPSOffice_Level2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0a517bed-b5d7-4296-be7f-12a10f84349b}"/>
              </w:placeholder>
            </w:sdtPr>
            <w:sdtEndPr>
              <w:rPr>
                <w:rFonts w:hint="eastAsia" w:ascii="黑体" w:hAnsi="黑体" w:eastAsia="黑体" w:cstheme="majorBidi"/>
                <w:lang w:val="en-US" w:eastAsia="zh-CN"/>
              </w:rPr>
            </w:sdtEndPr>
            <w:sdtContent>
              <w:r>
                <w:rPr>
                  <w:rFonts w:hint="eastAsia" w:ascii="黑体" w:hAnsi="黑体" w:eastAsia="黑体" w:cstheme="majorBidi"/>
                </w:rPr>
                <w:t>十三、国有资本经营预算财政拨款收入支出决算表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r>
            <w:rPr>
              <w:rFonts w:hint="eastAsia" w:ascii="黑体" w:hAnsi="黑体" w:eastAsia="黑体" w:cstheme="majorBidi"/>
              <w:lang w:val="en-US" w:eastAsia="zh-CN"/>
            </w:rPr>
            <w:t>4</w:t>
          </w:r>
        </w:p>
        <w:p>
          <w:pPr>
            <w:pStyle w:val="33"/>
            <w:tabs>
              <w:tab w:val="right" w:leader="dot" w:pos="8306"/>
            </w:tabs>
            <w:rPr>
              <w:rFonts w:hint="eastAsia" w:ascii="黑体" w:hAnsi="黑体" w:eastAsia="黑体" w:cstheme="majorBidi"/>
            </w:rPr>
          </w:pPr>
          <w:r>
            <w:rPr>
              <w:rFonts w:hint="eastAsia" w:ascii="黑体" w:hAnsi="黑体" w:eastAsia="黑体" w:cstheme="majorBidi"/>
            </w:rPr>
            <w:fldChar w:fldCharType="begin"/>
          </w:r>
          <w:r>
            <w:rPr>
              <w:rFonts w:hint="eastAsia" w:ascii="黑体" w:hAnsi="黑体" w:eastAsia="黑体" w:cstheme="majorBidi"/>
            </w:rPr>
            <w:instrText xml:space="preserve"> HYPERLINK \l _Toc24215_WPSOffice_Level2 </w:instrText>
          </w:r>
          <w:r>
            <w:rPr>
              <w:rFonts w:hint="eastAsia" w:ascii="黑体" w:hAnsi="黑体" w:eastAsia="黑体" w:cstheme="majorBidi"/>
            </w:rPr>
            <w:fldChar w:fldCharType="separate"/>
          </w:r>
          <w:sdt>
            <w:sdtPr>
              <w:rPr>
                <w:rFonts w:hint="eastAsia" w:ascii="黑体" w:hAnsi="黑体" w:eastAsia="黑体" w:cstheme="majorBidi"/>
                <w:lang w:val="en-US" w:eastAsia="zh-CN"/>
              </w:rPr>
              <w:id w:val="147476134"/>
              <w:placeholder>
                <w:docPart w:val="{6256200e-32ff-4eb7-89e6-f4afaca428fc}"/>
              </w:placeholder>
            </w:sdtPr>
            <w:sdtEndPr>
              <w:rPr>
                <w:rFonts w:hint="eastAsia" w:ascii="黑体" w:hAnsi="黑体" w:eastAsia="黑体" w:cstheme="majorBidi"/>
                <w:lang w:val="en-US" w:eastAsia="zh-CN"/>
              </w:rPr>
            </w:sdtEndPr>
            <w:sdtContent>
              <w:r>
                <w:rPr>
                  <w:rFonts w:hint="eastAsia" w:ascii="黑体" w:hAnsi="黑体" w:eastAsia="黑体" w:cstheme="majorBidi"/>
                </w:rPr>
                <w:t>十四、国有资本经营预算财政拨款支出决算表</w:t>
              </w:r>
            </w:sdtContent>
          </w:sdt>
          <w:r>
            <w:rPr>
              <w:rFonts w:hint="eastAsia" w:ascii="黑体" w:hAnsi="黑体" w:eastAsia="黑体" w:cstheme="majorBidi"/>
            </w:rPr>
            <w:tab/>
          </w:r>
          <w:r>
            <w:rPr>
              <w:rFonts w:hint="eastAsia" w:ascii="黑体" w:hAnsi="黑体" w:eastAsia="黑体" w:cstheme="majorBidi"/>
              <w:lang w:val="en-US" w:eastAsia="zh-CN"/>
            </w:rPr>
            <w:t>3</w:t>
          </w:r>
          <w:r>
            <w:rPr>
              <w:rFonts w:hint="eastAsia" w:ascii="黑体" w:hAnsi="黑体" w:eastAsia="黑体" w:cstheme="majorBidi"/>
            </w:rPr>
            <w:fldChar w:fldCharType="end"/>
          </w:r>
          <w:bookmarkEnd w:id="12"/>
          <w:r>
            <w:rPr>
              <w:rFonts w:hint="eastAsia" w:ascii="黑体" w:hAnsi="黑体" w:eastAsia="黑体" w:cstheme="majorBidi"/>
              <w:lang w:val="en-US" w:eastAsia="zh-CN"/>
            </w:rPr>
            <w:t>4</w:t>
          </w:r>
        </w:p>
      </w:sdtContent>
    </w:sdt>
    <w:p>
      <w:pPr>
        <w:pStyle w:val="33"/>
        <w:tabs>
          <w:tab w:val="right" w:leader="dot" w:pos="8306"/>
        </w:tabs>
        <w:rPr>
          <w:rFonts w:hint="eastAsia" w:ascii="黑体" w:hAnsi="黑体" w:eastAsia="黑体" w:cstheme="majorBidi"/>
          <w:lang w:val="en-US" w:eastAsia="zh-CN"/>
        </w:rPr>
      </w:pPr>
    </w:p>
    <w:p>
      <w:pPr>
        <w:widowControl/>
        <w:adjustRightInd w:val="0"/>
        <w:snapToGrid w:val="0"/>
        <w:spacing w:line="440" w:lineRule="exact"/>
        <w:ind w:firstLine="1325" w:firstLineChars="550"/>
        <w:jc w:val="left"/>
        <w:rPr>
          <w:rFonts w:ascii="仿宋" w:hAnsi="仿宋" w:eastAsia="仿宋"/>
          <w:b/>
          <w:color w:val="FF0000"/>
          <w:sz w:val="24"/>
        </w:rPr>
      </w:pPr>
      <w:bookmarkStart w:id="29" w:name="_Toc15396599"/>
      <w:bookmarkStart w:id="30" w:name="_Toc15377196"/>
      <w:r>
        <w:rPr>
          <w:rFonts w:ascii="仿宋" w:hAnsi="仿宋" w:eastAsia="仿宋"/>
          <w:b/>
          <w:color w:val="auto"/>
          <w:sz w:val="24"/>
          <w:highlight w:val="none"/>
        </w:rPr>
        <w:br w:type="page"/>
      </w:r>
    </w:p>
    <w:p>
      <w:pPr>
        <w:widowControl/>
        <w:spacing w:line="440" w:lineRule="exact"/>
        <w:jc w:val="left"/>
        <w:rPr>
          <w:rFonts w:ascii="仿宋" w:hAnsi="仿宋" w:eastAsia="仿宋"/>
          <w:bCs/>
          <w:color w:val="auto"/>
          <w:kern w:val="44"/>
          <w:sz w:val="24"/>
          <w:highlight w:val="none"/>
        </w:rPr>
      </w:pPr>
    </w:p>
    <w:p>
      <w:pPr>
        <w:pStyle w:val="3"/>
        <w:jc w:val="center"/>
        <w:rPr>
          <w:rStyle w:val="26"/>
          <w:rFonts w:ascii="黑体" w:hAnsi="黑体" w:eastAsia="黑体"/>
          <w:b/>
          <w:bCs w:val="0"/>
          <w:color w:val="auto"/>
          <w:highlight w:val="none"/>
        </w:rPr>
      </w:pPr>
      <w:bookmarkStart w:id="31" w:name="_Toc8974_WPSOffice_Level1"/>
      <w:r>
        <w:rPr>
          <w:rFonts w:hint="eastAsia" w:ascii="黑体" w:hAnsi="黑体" w:eastAsia="黑体"/>
          <w:b w:val="0"/>
          <w:color w:val="auto"/>
          <w:highlight w:val="none"/>
        </w:rPr>
        <w:t xml:space="preserve">第一部分 </w:t>
      </w:r>
      <w:r>
        <w:rPr>
          <w:rStyle w:val="26"/>
          <w:rFonts w:hint="eastAsia" w:ascii="黑体" w:hAnsi="黑体" w:eastAsia="黑体"/>
          <w:b w:val="0"/>
          <w:bCs w:val="0"/>
          <w:color w:val="auto"/>
          <w:highlight w:val="none"/>
        </w:rPr>
        <w:t>部门概况</w:t>
      </w:r>
      <w:bookmarkEnd w:id="29"/>
      <w:bookmarkEnd w:id="30"/>
      <w:bookmarkEnd w:id="31"/>
    </w:p>
    <w:p>
      <w:pPr>
        <w:widowControl/>
        <w:jc w:val="left"/>
        <w:rPr>
          <w:rFonts w:ascii="黑体" w:eastAsia="黑体"/>
          <w:color w:val="auto"/>
          <w:sz w:val="32"/>
          <w:szCs w:val="32"/>
          <w:highlight w:val="none"/>
        </w:rPr>
      </w:pPr>
    </w:p>
    <w:p>
      <w:pPr>
        <w:pStyle w:val="4"/>
        <w:rPr>
          <w:rStyle w:val="27"/>
          <w:rFonts w:ascii="仿宋" w:hAnsi="仿宋" w:eastAsia="仿宋"/>
          <w:b w:val="0"/>
          <w:bCs w:val="0"/>
          <w:color w:val="auto"/>
          <w:highlight w:val="none"/>
        </w:rPr>
      </w:pPr>
      <w:bookmarkStart w:id="32" w:name="_Toc21177_WPSOffice_Level2"/>
      <w:bookmarkStart w:id="33" w:name="_Toc15396600"/>
      <w:bookmarkStart w:id="34" w:name="_Toc15377197"/>
      <w:r>
        <w:rPr>
          <w:rFonts w:hint="eastAsia" w:ascii="黑体" w:hAnsi="黑体" w:eastAsia="黑体"/>
          <w:b w:val="0"/>
          <w:color w:val="auto"/>
          <w:highlight w:val="none"/>
        </w:rPr>
        <w:t>一、基</w:t>
      </w:r>
      <w:r>
        <w:rPr>
          <w:rStyle w:val="27"/>
          <w:rFonts w:hint="eastAsia" w:ascii="黑体" w:hAnsi="黑体" w:eastAsia="黑体"/>
          <w:b w:val="0"/>
          <w:bCs w:val="0"/>
          <w:color w:val="auto"/>
          <w:highlight w:val="none"/>
        </w:rPr>
        <w:t>本职能及主要工作</w:t>
      </w:r>
      <w:bookmarkEnd w:id="32"/>
      <w:bookmarkEnd w:id="33"/>
      <w:bookmarkEnd w:id="34"/>
    </w:p>
    <w:p>
      <w:pPr>
        <w:pStyle w:val="2"/>
        <w:adjustRightInd w:val="0"/>
        <w:snapToGrid w:val="0"/>
        <w:spacing w:before="93" w:line="600" w:lineRule="exact"/>
        <w:ind w:firstLine="672" w:firstLineChars="210"/>
        <w:outlineLvl w:val="2"/>
        <w:rPr>
          <w:rFonts w:hint="eastAsia" w:ascii="仿宋" w:hAnsi="仿宋" w:eastAsia="仿宋"/>
          <w:bCs/>
          <w:color w:val="FF0000"/>
          <w:sz w:val="32"/>
          <w:szCs w:val="32"/>
        </w:rPr>
      </w:pPr>
      <w:bookmarkStart w:id="35" w:name="_Toc15377198"/>
      <w:bookmarkStart w:id="36" w:name="_Toc11053_WPSOffice_Level3"/>
      <w:bookmarkStart w:id="37" w:name="_Toc21177_WPSOffice_Level3"/>
      <w:bookmarkStart w:id="38" w:name="_Toc18094_WPSOffice_Level3"/>
      <w:bookmarkStart w:id="39" w:name="_Toc15378445"/>
      <w:r>
        <w:rPr>
          <w:rFonts w:hint="eastAsia" w:ascii="仿宋" w:hAnsi="仿宋" w:eastAsia="仿宋"/>
          <w:bCs/>
          <w:color w:val="auto"/>
          <w:sz w:val="32"/>
          <w:szCs w:val="32"/>
          <w:highlight w:val="none"/>
        </w:rPr>
        <w:t>（一）主要职能。</w:t>
      </w:r>
      <w:bookmarkEnd w:id="35"/>
      <w:bookmarkEnd w:id="36"/>
      <w:bookmarkEnd w:id="37"/>
      <w:bookmarkEnd w:id="38"/>
      <w:bookmarkEnd w:id="39"/>
      <w:bookmarkStart w:id="40" w:name="_Toc15377199"/>
      <w:bookmarkStart w:id="41" w:name="_Toc15378446"/>
    </w:p>
    <w:p>
      <w:pPr>
        <w:snapToGrid w:val="0"/>
        <w:spacing w:line="520" w:lineRule="exact"/>
        <w:ind w:firstLine="640" w:firstLineChars="200"/>
        <w:rPr>
          <w:rFonts w:hint="eastAsia"/>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贯彻执行国家有关水行政管理工作的方针、政策和法律、法规，负责拟订并监督实施全市水利行政管理规范性文件。负责保障水资源的合理开发利用，拟订全市水利战略规划和政策，编制并组织实施有关水利方面的综合规划和专业规划。组织实施水利工程建设的有关制度，按照规定权限审批、核准相关固定资产投资项目，提出市级水利建设投资安排建议。</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负责生活、生产经营和生态环境用水的统筹兼顾和保障。实施水资源的统一监督管理，拟订并监督实施全市和跨县（区）中长期水供求规划和年度计划、水量分配方案， 按规定组织开展水资源、水能资源调查评价和水资源承载能力监测预警工作，负责市管重要流域、区域以及重大调水工程的水资源调度，组织实施取水许可、水资源有偿使用制度和水资源论证、防洪论证制度。指导水利行业供水和乡镇供水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负责水资源保护工作。组织编制并监督实施水资源保护和水源地保护规划，指导饮用水水源保护工作。指导地下水开发利用和地下水资源管理保护。组织指导地下水超采区综合治理。参与编制水功能区划工作。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负责全市节约用水工作。拟订全市节约用水政策，编制全市节约用水规划，指导和推动节水型社会建设工作。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指导水利设施、水域及其岸线的管理保护与综合利用，指导全市重要江河、湖泊、水库、滩涂的治理和开发，指导全市水利工程建设与运行管理，组织具有控制性的或跨县（区）的重要水利工程建设与运行管理，负责河道采砂的统一监督管理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负责防治水土流失。拟订全市水土保持规划并监督实施，组织实施全市水土流失的综合防治、监测预报并定期公告，负责审批和监督实施有关生产建设项目水土保持方案，负责水土保持设施的验收工作，指导全市重点水土保持建设项目的实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指导农村水利工作。指导水利设施的管理、保护与综合利用，监督实施全市农村水利政策；协助有关部门提出农村水利项目计划；组织开展大、中型灌区的运行管理、改造、节水灌溉、灌溉试验研究成果推广等有关工作；指导已成水库工程的建设、管理工作；指导农村饮水工程建设与管理，组织实施农村饮水安全巩固提升工程；指导农村水利社会化服务体系和基层水利服务体系建设。</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8.</w:t>
      </w:r>
      <w:r>
        <w:rPr>
          <w:rFonts w:hint="eastAsia" w:ascii="仿宋_GB2312" w:hAnsi="仿宋" w:eastAsia="仿宋_GB2312"/>
          <w:sz w:val="32"/>
          <w:szCs w:val="32"/>
        </w:rPr>
        <w:t>负责全市重大涉水违法事件的查处，协调、 仲裁跨县（区）水事纠纷，指导水政监察和水行政执法；负责水利建设工程项目的招标投标活动的监督执法。依法负责水利行业安全生产工作，组织、指导水库大坝等水利工程的安全监管，负责全市河道采砂安全生产监督管理职责。组织实施水利工程建设的监督，指导水利建设市场的监督管理。</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开展全市水利科技和对外合作交流工作；组织开展全市水利行业质量监督工作，监督实施水利行业的技术标准、规程规范，组织水利科学研究、技术推广，承担全市水利统计工作。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10.</w:t>
      </w:r>
      <w:r>
        <w:rPr>
          <w:rFonts w:hint="eastAsia" w:ascii="仿宋_GB2312" w:hAnsi="仿宋" w:eastAsia="仿宋_GB2312"/>
          <w:sz w:val="32"/>
          <w:szCs w:val="32"/>
        </w:rPr>
        <w:t>贯彻执行国家有关河湖保护、治理、管理工作的方针政策和法律法规；承担河长制组织实施的具体工作。指导河湖水系连通工作。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11.</w:t>
      </w:r>
      <w:r>
        <w:rPr>
          <w:rFonts w:hint="eastAsia" w:ascii="仿宋_GB2312" w:hAnsi="仿宋" w:eastAsia="仿宋_GB2312"/>
          <w:sz w:val="32"/>
          <w:szCs w:val="32"/>
        </w:rPr>
        <w:t>负责水旱灾害防治，组织编制洪水干旱防治规划和防护标准；负责防洪抗旱调度和应急水量调度；承担水情旱情预警工作；承担防御洪水应急抢险的技术支撑工作。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12.</w:t>
      </w:r>
      <w:r>
        <w:rPr>
          <w:rFonts w:hint="eastAsia" w:ascii="仿宋_GB2312" w:hAnsi="仿宋" w:eastAsia="仿宋_GB2312"/>
          <w:sz w:val="32"/>
          <w:szCs w:val="32"/>
        </w:rPr>
        <w:t>指导编制大中型水利水电工程移民安置规划大纲和移民安置规划；组织编制实施大中型水利水电工程移民搬迁安置年度计划；管理全市大中型水利水电工程移民迁建安置实施工作，承办移民安置验收相关工作；处理大中型水利水电移民遗留问题。</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13.</w:t>
      </w:r>
      <w:r>
        <w:rPr>
          <w:rFonts w:hint="eastAsia" w:ascii="仿宋_GB2312" w:hAnsi="仿宋" w:eastAsia="仿宋_GB2312"/>
          <w:sz w:val="32"/>
          <w:szCs w:val="32"/>
        </w:rPr>
        <w:t>指导编制大中型水利水电工程移民后期扶持规划和年度计划，并监督实施；组织开展移民后扶项目的申报立项和竣工验收工作；负责移民生产技能和就业技能培训等工作；负责三峡移民后续工作。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14.</w:t>
      </w:r>
      <w:r>
        <w:rPr>
          <w:rFonts w:hint="eastAsia" w:ascii="仿宋_GB2312" w:hAnsi="仿宋" w:eastAsia="仿宋_GB2312"/>
          <w:sz w:val="32"/>
          <w:szCs w:val="32"/>
        </w:rPr>
        <w:t>承担市政府公布的有关行政审批事项。</w:t>
      </w:r>
    </w:p>
    <w:p>
      <w:pPr>
        <w:snapToGrid w:val="0"/>
        <w:spacing w:line="520" w:lineRule="exact"/>
        <w:ind w:firstLine="640" w:firstLineChars="200"/>
        <w:rPr>
          <w:rFonts w:hint="eastAsia" w:ascii="仿宋" w:hAnsi="仿宋" w:eastAsia="仿宋"/>
          <w:bCs/>
          <w:color w:val="FF0000"/>
          <w:sz w:val="32"/>
          <w:szCs w:val="32"/>
        </w:rPr>
      </w:pPr>
      <w:r>
        <w:rPr>
          <w:rFonts w:hint="eastAsia" w:ascii="仿宋_GB2312" w:hAnsi="仿宋" w:eastAsia="仿宋_GB2312"/>
          <w:sz w:val="32"/>
          <w:szCs w:val="32"/>
          <w:lang w:val="en-US" w:eastAsia="zh-CN"/>
        </w:rPr>
        <w:t>15.</w:t>
      </w:r>
      <w:r>
        <w:rPr>
          <w:rFonts w:hint="eastAsia" w:ascii="仿宋_GB2312" w:hAnsi="仿宋" w:eastAsia="仿宋_GB2312"/>
          <w:sz w:val="32"/>
          <w:szCs w:val="32"/>
        </w:rPr>
        <w:t>承办市委、市政府和上级部门交办的其他事项。</w:t>
      </w:r>
    </w:p>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42" w:name="_Toc13202_WPSOffice_Level3"/>
      <w:bookmarkStart w:id="43" w:name="_Toc6174_WPSOffice_Level3"/>
      <w:bookmarkStart w:id="44" w:name="_Toc27490_WPSOffice_Level3"/>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40"/>
      <w:bookmarkEnd w:id="41"/>
      <w:bookmarkEnd w:id="42"/>
      <w:bookmarkEnd w:id="43"/>
      <w:bookmarkEnd w:id="44"/>
    </w:p>
    <w:p>
      <w:pPr>
        <w:spacing w:line="560" w:lineRule="exact"/>
        <w:ind w:firstLine="640" w:firstLineChars="200"/>
        <w:rPr>
          <w:rFonts w:hint="eastAsia" w:ascii="仿宋_GB2312" w:hAnsi="仿宋_GB2312" w:eastAsia="仿宋_GB2312" w:cs="仿宋_GB2312"/>
          <w:b w:val="0"/>
          <w:bCs w:val="0"/>
          <w:color w:val="000000"/>
          <w:kern w:val="0"/>
          <w:sz w:val="32"/>
          <w:szCs w:val="32"/>
          <w:lang w:eastAsia="zh-CN"/>
        </w:rPr>
      </w:pPr>
      <w:r>
        <w:rPr>
          <w:rFonts w:hint="eastAsia" w:ascii="楷体_GB2312" w:hAnsi="楷体_GB2312" w:eastAsia="楷体_GB2312" w:cs="Times New Roman"/>
          <w:color w:val="000000"/>
          <w:sz w:val="32"/>
          <w:lang w:val="en-US" w:eastAsia="zh-CN"/>
        </w:rPr>
        <w:t>1.</w:t>
      </w:r>
      <w:r>
        <w:rPr>
          <w:rFonts w:hint="eastAsia" w:ascii="楷体_GB2312" w:hAnsi="楷体_GB2312" w:eastAsia="楷体_GB2312" w:cs="Times New Roman"/>
          <w:color w:val="000000"/>
          <w:sz w:val="32"/>
        </w:rPr>
        <w:t>聚焦党建</w:t>
      </w:r>
      <w:r>
        <w:rPr>
          <w:rFonts w:hint="default" w:ascii="楷体_GB2312" w:hAnsi="楷体_GB2312" w:eastAsia="楷体_GB2312" w:cs="Times New Roman"/>
          <w:color w:val="000000"/>
          <w:sz w:val="32"/>
          <w:lang w:val="en-US"/>
        </w:rPr>
        <w:t>中心</w:t>
      </w:r>
      <w:r>
        <w:rPr>
          <w:rFonts w:hint="eastAsia" w:ascii="楷体_GB2312" w:hAnsi="楷体_GB2312" w:eastAsia="楷体_GB2312" w:cs="Times New Roman"/>
          <w:color w:val="000000"/>
          <w:sz w:val="32"/>
        </w:rPr>
        <w:t>，强化</w:t>
      </w:r>
      <w:r>
        <w:rPr>
          <w:rFonts w:hint="eastAsia" w:ascii="楷体_GB2312" w:hAnsi="楷体_GB2312" w:eastAsia="楷体_GB2312" w:cs="Times New Roman"/>
          <w:color w:val="000000"/>
          <w:sz w:val="32"/>
          <w:lang w:eastAsia="zh-CN"/>
        </w:rPr>
        <w:t>政治</w:t>
      </w:r>
      <w:r>
        <w:rPr>
          <w:rFonts w:hint="eastAsia" w:ascii="楷体_GB2312" w:hAnsi="楷体_GB2312" w:eastAsia="楷体_GB2312" w:cs="Times New Roman"/>
          <w:color w:val="000000"/>
          <w:sz w:val="32"/>
        </w:rPr>
        <w:t>引领</w:t>
      </w:r>
      <w:r>
        <w:rPr>
          <w:rFonts w:hint="eastAsia" w:ascii="楷体_GB2312" w:hAnsi="楷体_GB2312" w:eastAsia="楷体_GB2312" w:cs="Times New Roman"/>
          <w:color w:val="000000"/>
          <w:sz w:val="32"/>
          <w:lang w:eastAsia="zh-CN"/>
        </w:rPr>
        <w:t>。</w:t>
      </w:r>
      <w:r>
        <w:rPr>
          <w:rFonts w:hint="eastAsia" w:ascii="仿宋_GB2312" w:hAnsi="仿宋_GB2312" w:eastAsia="仿宋_GB2312" w:cs="仿宋_GB2312"/>
          <w:b w:val="0"/>
          <w:bCs w:val="0"/>
          <w:color w:val="000000"/>
          <w:sz w:val="32"/>
          <w:lang w:eastAsia="zh-CN"/>
        </w:rPr>
        <w:t>认真学习贯彻党的十九届五中、六中全会、省委十一届九次、十次全会和市委四届九次、十次全会精神，认真</w:t>
      </w:r>
      <w:r>
        <w:rPr>
          <w:rFonts w:hint="eastAsia" w:ascii="仿宋_GB2312" w:hAnsi="仿宋_GB2312" w:eastAsia="仿宋_GB2312" w:cs="仿宋_GB2312"/>
          <w:b w:val="0"/>
          <w:bCs w:val="0"/>
          <w:color w:val="auto"/>
          <w:kern w:val="0"/>
          <w:sz w:val="32"/>
          <w:szCs w:val="32"/>
          <w:u w:val="none"/>
          <w:lang w:val="en-US" w:eastAsia="zh-CN" w:bidi="ar"/>
        </w:rPr>
        <w:t>学习贯彻习近平总书记在庆祝中国共产党成立100周年大会上的重要讲话精神，</w:t>
      </w:r>
      <w:r>
        <w:rPr>
          <w:rFonts w:hint="eastAsia" w:ascii="仿宋_GB2312" w:hAnsi="仿宋_GB2312" w:eastAsia="仿宋_GB2312" w:cs="仿宋_GB2312"/>
          <w:b w:val="0"/>
          <w:bCs w:val="0"/>
          <w:color w:val="000000"/>
          <w:sz w:val="32"/>
          <w:lang w:eastAsia="zh-CN"/>
        </w:rPr>
        <w:t>全年贯穿一条党史学习教育主线，强化政治理论武装，夯实党建基础，持续加强机关政治建设。今年以来，局党组召开党组学习会</w:t>
      </w:r>
      <w:r>
        <w:rPr>
          <w:rFonts w:hint="eastAsia" w:ascii="仿宋_GB2312" w:hAnsi="仿宋_GB2312" w:eastAsia="仿宋_GB2312" w:cs="仿宋_GB2312"/>
          <w:b w:val="0"/>
          <w:bCs w:val="0"/>
          <w:color w:val="000000"/>
          <w:sz w:val="32"/>
          <w:lang w:val="en-US" w:eastAsia="zh-CN"/>
        </w:rPr>
        <w:t>46</w:t>
      </w:r>
      <w:r>
        <w:rPr>
          <w:rFonts w:hint="eastAsia" w:ascii="仿宋_GB2312" w:hAnsi="仿宋_GB2312" w:eastAsia="仿宋_GB2312" w:cs="仿宋_GB2312"/>
          <w:b w:val="0"/>
          <w:bCs w:val="0"/>
          <w:color w:val="000000"/>
          <w:sz w:val="32"/>
          <w:lang w:eastAsia="zh-CN"/>
        </w:rPr>
        <w:t>次、中心组学习会11次；扎实开展“大学习、大走访、大调研”活动，完成省委第二巡视组反馈问题整改、市委第二巡察组反馈问题整改，净化修复水利系统政治生态；指导市水利水电勘测设计研究院完成改制，完成移民职能划转工作，进一步凝聚力量。</w:t>
      </w:r>
    </w:p>
    <w:p>
      <w:pPr>
        <w:autoSpaceDE w:val="0"/>
        <w:spacing w:line="560" w:lineRule="exact"/>
        <w:ind w:firstLine="640"/>
        <w:rPr>
          <w:rFonts w:hint="eastAsia" w:ascii="楷体_GB2312" w:hAnsi="楷体_GB2312" w:eastAsia="仿宋_GB2312"/>
          <w:color w:val="000000"/>
          <w:sz w:val="32"/>
          <w:lang w:eastAsia="zh-CN"/>
        </w:rPr>
      </w:pPr>
      <w:r>
        <w:rPr>
          <w:rFonts w:hint="eastAsia" w:ascii="楷体_GB2312" w:hAnsi="楷体_GB2312" w:eastAsia="楷体_GB2312"/>
          <w:color w:val="000000"/>
          <w:sz w:val="32"/>
          <w:lang w:val="en-US" w:eastAsia="zh-CN"/>
        </w:rPr>
        <w:t>2.</w:t>
      </w:r>
      <w:r>
        <w:rPr>
          <w:rFonts w:hint="eastAsia" w:ascii="楷体_GB2312" w:hAnsi="楷体_GB2312" w:eastAsia="楷体_GB2312"/>
          <w:color w:val="000000"/>
          <w:sz w:val="32"/>
          <w:lang w:eastAsia="zh-CN"/>
        </w:rPr>
        <w:t>落实绿色发展理念，全面推行河湖长制工作</w:t>
      </w:r>
      <w:r>
        <w:rPr>
          <w:rFonts w:hint="eastAsia" w:ascii="楷体_GB2312" w:hAnsi="楷体_GB2312" w:eastAsia="楷体_GB2312"/>
          <w:color w:val="000000"/>
          <w:sz w:val="32"/>
        </w:rPr>
        <w:t>。</w:t>
      </w:r>
      <w:r>
        <w:rPr>
          <w:rFonts w:hint="eastAsia" w:ascii="仿宋_GB2312" w:hAnsi="仿宋_GB2312" w:eastAsia="仿宋_GB2312"/>
          <w:color w:val="000000"/>
          <w:sz w:val="32"/>
          <w:lang w:eastAsia="zh-CN"/>
        </w:rPr>
        <w:t>今年以来，市级河湖长巡河湖57人次，县（区）、乡（镇）河湖长巡河湖</w:t>
      </w:r>
      <w:r>
        <w:rPr>
          <w:rFonts w:hint="eastAsia" w:ascii="仿宋_GB2312" w:hAnsi="仿宋_GB2312" w:eastAsia="仿宋_GB2312" w:cs="仿宋_GB2312"/>
          <w:color w:val="000000"/>
          <w:sz w:val="32"/>
          <w:lang w:val="en-US" w:eastAsia="zh-CN"/>
        </w:rPr>
        <w:t>18601</w:t>
      </w:r>
      <w:r>
        <w:rPr>
          <w:rFonts w:hint="eastAsia" w:ascii="仿宋_GB2312" w:hAnsi="仿宋_GB2312" w:eastAsia="仿宋_GB2312"/>
          <w:color w:val="000000"/>
          <w:sz w:val="32"/>
          <w:lang w:eastAsia="zh-CN"/>
        </w:rPr>
        <w:t>人次，发现并整改问题2068个；完成流域面积50平方公里以上99条2906公里河流划界和流域面积1000平方千米以上11条河流岸线规划编制工作；今年，雅安市作为四川省唯一的“河长制湖长制工作推进力度大、河湖管理保护成效明显的地方”受到国务院督查激励；名山区百丈镇解放村村级河湖管护体系建设被水利部党组列为2021年12个“我为群众办实事”活动之一。</w:t>
      </w:r>
    </w:p>
    <w:p>
      <w:pPr>
        <w:autoSpaceDE w:val="0"/>
        <w:spacing w:line="560" w:lineRule="exact"/>
        <w:ind w:firstLine="640"/>
        <w:rPr>
          <w:rFonts w:hint="eastAsia" w:ascii="仿宋_GB2312" w:hAnsi="仿宋_GB2312" w:eastAsia="仿宋_GB2312" w:cs="仿宋_GB2312"/>
          <w:color w:val="000000"/>
          <w:sz w:val="32"/>
          <w:lang w:val="en-US" w:eastAsia="zh-CN"/>
        </w:rPr>
      </w:pPr>
      <w:r>
        <w:rPr>
          <w:rFonts w:hint="eastAsia" w:ascii="楷体_GB2312" w:hAnsi="楷体_GB2312" w:eastAsia="楷体_GB2312"/>
          <w:color w:val="000000"/>
          <w:sz w:val="32"/>
          <w:lang w:val="en-US" w:eastAsia="zh-CN"/>
        </w:rPr>
        <w:t>3.</w:t>
      </w:r>
      <w:r>
        <w:rPr>
          <w:rFonts w:hint="eastAsia" w:ascii="楷体_GB2312" w:hAnsi="楷体_GB2312" w:eastAsia="楷体_GB2312"/>
          <w:color w:val="000000"/>
          <w:sz w:val="32"/>
          <w:lang w:eastAsia="zh-CN"/>
        </w:rPr>
        <w:t>助推乡村振兴，全力保障农村供水安全</w:t>
      </w:r>
      <w:r>
        <w:rPr>
          <w:rFonts w:hint="eastAsia" w:ascii="楷体_GB2312" w:hAnsi="楷体_GB2312" w:eastAsia="楷体_GB2312"/>
          <w:color w:val="000000"/>
          <w:sz w:val="32"/>
        </w:rPr>
        <w:t>。</w:t>
      </w:r>
      <w:r>
        <w:rPr>
          <w:rFonts w:hint="eastAsia" w:ascii="仿宋_GB2312" w:hAnsi="仿宋_GB2312" w:eastAsia="仿宋_GB2312" w:cs="仿宋_GB2312"/>
          <w:color w:val="000000"/>
          <w:sz w:val="32"/>
          <w:lang w:val="en-US" w:eastAsia="zh-CN"/>
        </w:rPr>
        <w:t>大力推进乡村水务建设，今年累计投资20135万元，整治灌溉渠道46公里，实施改扩建农村饮水工程68处，安装饮水管道437公里，受益人口27.81万人。2021年，芦山县被列入四川省第一批乡村水务试点县名录；持续巩固拓展脱贫攻坚成果与乡村振兴有效衔接，实施汉源县太平村生产生活用水项目，提升全村734户2930人饮水安全水平，保障4400亩耕地的灌溉用水，着力解决太平村灌溉和吃水保障率不高问题，促进联系村供水提质增效；今年，我市争取到中省资金528万元用于小型病险水库除险加固。对全市244处农村供水工程开展达标创建活动，通过加强工程建设和建后管护进一步提升农村供水工程管理水平。</w:t>
      </w:r>
    </w:p>
    <w:p>
      <w:pPr>
        <w:autoSpaceDE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楷体_GB2312" w:hAnsi="楷体_GB2312" w:eastAsia="楷体_GB2312"/>
          <w:color w:val="000000"/>
          <w:sz w:val="32"/>
          <w:lang w:val="en-US" w:eastAsia="zh-CN"/>
        </w:rPr>
        <w:t>4.</w:t>
      </w:r>
      <w:r>
        <w:rPr>
          <w:rFonts w:hint="eastAsia" w:ascii="楷体_GB2312" w:hAnsi="楷体_GB2312" w:eastAsia="楷体_GB2312"/>
          <w:color w:val="000000"/>
          <w:sz w:val="32"/>
          <w:lang w:eastAsia="zh-CN"/>
        </w:rPr>
        <w:t>坚持“人民至上、生命至上”，打好防汛减灾硬仗。</w:t>
      </w:r>
      <w:r>
        <w:rPr>
          <w:rFonts w:hint="eastAsia" w:ascii="仿宋_GB2312" w:hAnsi="仿宋_GB2312" w:eastAsia="仿宋_GB2312" w:cs="仿宋_GB2312"/>
          <w:color w:val="000000"/>
          <w:sz w:val="32"/>
          <w:szCs w:val="32"/>
          <w:lang w:eastAsia="zh-CN"/>
        </w:rPr>
        <w:t>今年完成市、县两级防汛抗旱指挥机构及其办公室调整，新增4名副指挥长，新增3家网络运营公司为成员单位，实现省市县三级同步到位、同向发力；</w:t>
      </w:r>
      <w:r>
        <w:rPr>
          <w:rFonts w:hint="eastAsia" w:ascii="仿宋_GB2312" w:hAnsi="仿宋_GB2312" w:eastAsia="仿宋_GB2312" w:cs="仿宋_GB2312"/>
          <w:color w:val="000000"/>
          <w:sz w:val="32"/>
          <w:szCs w:val="32"/>
        </w:rPr>
        <w:t>建立“三单一书”“两书一函”工作机制，落实市县乡村组五级行政责任人以及14条主要江河、83座水库、909处山洪灾害易发区防汛责任人，</w:t>
      </w:r>
      <w:r>
        <w:rPr>
          <w:rFonts w:hint="eastAsia" w:ascii="仿宋_GB2312" w:hAnsi="仿宋_GB2312" w:eastAsia="仿宋_GB2312" w:cs="仿宋_GB2312"/>
          <w:color w:val="000000"/>
          <w:sz w:val="32"/>
          <w:szCs w:val="32"/>
          <w:lang w:eastAsia="zh-CN"/>
        </w:rPr>
        <w:t>入汛以来，我市共发布预警信息12万余条，通过三大运营商发布预警短信600万余条（次），累计紧急转移避险群众约121363人,最大限度保障了人民群众生命财产安全；结合雅安防汛工作实际，修订完善我市各类防汛应急预案，今年，</w:t>
      </w:r>
      <w:r>
        <w:rPr>
          <w:rFonts w:hint="eastAsia" w:ascii="仿宋_GB2312" w:hAnsi="仿宋_GB2312" w:eastAsia="仿宋_GB2312" w:cs="仿宋_GB2312"/>
          <w:color w:val="000000"/>
          <w:sz w:val="32"/>
          <w:szCs w:val="32"/>
          <w:lang w:val="en-US" w:eastAsia="zh-CN"/>
        </w:rPr>
        <w:t>全市共组织各类防汛演练共1458场次，涉及79827人。6月，在芦山县龙门镇举行了全市山洪灾害应急演练，</w:t>
      </w:r>
      <w:r>
        <w:rPr>
          <w:rFonts w:hint="eastAsia" w:ascii="仿宋_GB2312" w:hAnsi="仿宋_GB2312" w:eastAsia="仿宋_GB2312" w:cs="仿宋_GB2312"/>
          <w:color w:val="000000"/>
          <w:sz w:val="32"/>
          <w:szCs w:val="32"/>
          <w:lang w:eastAsia="zh-CN"/>
        </w:rPr>
        <w:t>用实战检验防汛预案的科学性、实效性和可操作性。</w:t>
      </w:r>
    </w:p>
    <w:p>
      <w:pPr>
        <w:autoSpaceDE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楷体_GB2312" w:hAnsi="楷体_GB2312" w:eastAsia="楷体_GB2312"/>
          <w:color w:val="000000"/>
          <w:sz w:val="32"/>
          <w:lang w:val="en-US" w:eastAsia="zh-CN"/>
        </w:rPr>
        <w:t>5.</w:t>
      </w:r>
      <w:r>
        <w:rPr>
          <w:rFonts w:hint="eastAsia" w:ascii="楷体_GB2312" w:hAnsi="楷体_GB2312" w:eastAsia="楷体_GB2312"/>
          <w:color w:val="000000"/>
          <w:sz w:val="32"/>
          <w:lang w:eastAsia="zh-CN"/>
        </w:rPr>
        <w:t>走好生态水利路线，治水管水工作力求实效</w:t>
      </w:r>
      <w:r>
        <w:rPr>
          <w:rFonts w:hint="eastAsia" w:ascii="楷体_GB2312" w:hAnsi="楷体_GB2312" w:eastAsia="楷体_GB2312"/>
          <w:color w:val="000000"/>
          <w:sz w:val="32"/>
        </w:rPr>
        <w:t>。</w:t>
      </w:r>
      <w:r>
        <w:rPr>
          <w:rFonts w:hint="eastAsia" w:ascii="仿宋_GB2312" w:hAnsi="仿宋_GB2312" w:eastAsia="仿宋_GB2312" w:cs="仿宋_GB2312"/>
          <w:color w:val="000000"/>
          <w:sz w:val="32"/>
          <w:szCs w:val="32"/>
        </w:rPr>
        <w:t>推进节水型社会建设，</w:t>
      </w:r>
      <w:r>
        <w:rPr>
          <w:rFonts w:hint="eastAsia" w:ascii="仿宋_GB2312" w:hAnsi="仿宋_GB2312" w:eastAsia="仿宋_GB2312" w:cs="仿宋_GB2312"/>
          <w:color w:val="000000"/>
          <w:sz w:val="32"/>
          <w:szCs w:val="32"/>
          <w:lang w:val="en-US" w:eastAsia="zh-CN"/>
        </w:rPr>
        <w:t>今年，中国人民银行雅安支行、雅安职业技术学院创建节水型单位并通过市级验收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石棉县成为全国第四批节水型社会建设达标县</w:t>
      </w:r>
      <w:r>
        <w:rPr>
          <w:rFonts w:hint="eastAsia" w:ascii="仿宋_GB2312" w:hAnsi="仿宋_GB2312" w:eastAsia="仿宋_GB2312" w:cs="仿宋_GB2312"/>
          <w:color w:val="000000"/>
          <w:sz w:val="32"/>
          <w:szCs w:val="32"/>
          <w:lang w:eastAsia="zh-CN"/>
        </w:rPr>
        <w:t>；持续深化长江经济带小水电清理整改“回头看”，全市现存小水电653个（含待退出），全市水电站生态流量监控率、检测率均为100%；持续做好水土流失综合治理，截至</w:t>
      </w:r>
      <w:r>
        <w:rPr>
          <w:rFonts w:hint="eastAsia" w:ascii="仿宋_GB2312" w:hAnsi="仿宋_GB2312" w:eastAsia="仿宋_GB2312" w:cs="仿宋_GB2312"/>
          <w:color w:val="000000"/>
          <w:sz w:val="32"/>
          <w:szCs w:val="32"/>
          <w:lang w:val="en-US" w:eastAsia="zh-CN"/>
        </w:rPr>
        <w:t>11月底</w:t>
      </w:r>
      <w:r>
        <w:rPr>
          <w:rFonts w:hint="eastAsia" w:ascii="仿宋_GB2312" w:hAnsi="仿宋_GB2312" w:eastAsia="仿宋_GB2312" w:cs="仿宋_GB2312"/>
          <w:color w:val="000000"/>
          <w:sz w:val="32"/>
          <w:szCs w:val="32"/>
          <w:lang w:eastAsia="zh-CN"/>
        </w:rPr>
        <w:t>完成水土流失治理面积</w:t>
      </w:r>
      <w:r>
        <w:rPr>
          <w:rFonts w:hint="eastAsia" w:ascii="仿宋_GB2312" w:hAnsi="仿宋_GB2312" w:eastAsia="仿宋_GB2312" w:cs="仿宋_GB2312"/>
          <w:color w:val="000000"/>
          <w:sz w:val="32"/>
          <w:szCs w:val="32"/>
          <w:lang w:val="en-US" w:eastAsia="zh-CN"/>
        </w:rPr>
        <w:t>143.45</w:t>
      </w:r>
      <w:r>
        <w:rPr>
          <w:rFonts w:hint="eastAsia" w:ascii="仿宋_GB2312" w:hAnsi="仿宋_GB2312" w:eastAsia="仿宋_GB2312" w:cs="仿宋_GB2312"/>
          <w:color w:val="000000"/>
          <w:sz w:val="32"/>
          <w:szCs w:val="32"/>
          <w:lang w:eastAsia="zh-CN"/>
        </w:rPr>
        <w:t>平方公里，完成省下达年度治理任务的</w:t>
      </w:r>
      <w:r>
        <w:rPr>
          <w:rFonts w:hint="eastAsia" w:ascii="仿宋_GB2312" w:hAnsi="仿宋_GB2312" w:eastAsia="仿宋_GB2312" w:cs="仿宋_GB2312"/>
          <w:color w:val="000000"/>
          <w:sz w:val="32"/>
          <w:szCs w:val="32"/>
          <w:lang w:val="en-US" w:eastAsia="zh-CN"/>
        </w:rPr>
        <w:t>91.96</w:t>
      </w:r>
      <w:r>
        <w:rPr>
          <w:rFonts w:hint="eastAsia" w:ascii="仿宋_GB2312" w:hAnsi="仿宋_GB2312" w:eastAsia="仿宋_GB2312" w:cs="仿宋_GB2312"/>
          <w:color w:val="000000"/>
          <w:sz w:val="32"/>
          <w:szCs w:val="32"/>
          <w:lang w:eastAsia="zh-CN"/>
        </w:rPr>
        <w:t>%。芦山县成功创建2021年国家级水土保持示范县，G351线夹金山隧道工程水土保持方案提前获省水利厅审批；持续推进扫黑除恶斗争，今年来，全市累计立案查处涉水案件42起,移交公安3起,罚款141.7881万元。</w:t>
      </w:r>
    </w:p>
    <w:p>
      <w:pPr>
        <w:autoSpaceDE w:val="0"/>
        <w:spacing w:line="560" w:lineRule="exact"/>
        <w:ind w:firstLine="640" w:firstLineChars="200"/>
        <w:rPr>
          <w:rFonts w:hint="eastAsia" w:ascii="仿宋_GB2312" w:hAnsi="仿宋_GB2312" w:eastAsia="仿宋_GB2312" w:cs="Times New Roman"/>
          <w:bCs/>
          <w:snapToGrid w:val="0"/>
          <w:color w:val="000000"/>
          <w:sz w:val="32"/>
          <w:szCs w:val="32"/>
          <w:lang w:val="en-US" w:eastAsia="zh-CN"/>
        </w:rPr>
      </w:pPr>
      <w:r>
        <w:rPr>
          <w:rFonts w:hint="eastAsia" w:ascii="楷体_GB2312" w:hAnsi="楷体_GB2312" w:eastAsia="楷体_GB2312"/>
          <w:color w:val="000000"/>
          <w:sz w:val="32"/>
          <w:lang w:val="en-US" w:eastAsia="zh-CN"/>
        </w:rPr>
        <w:t>6.</w:t>
      </w:r>
      <w:r>
        <w:rPr>
          <w:rFonts w:hint="eastAsia" w:ascii="楷体_GB2312" w:hAnsi="楷体_GB2312" w:eastAsia="楷体_GB2312"/>
          <w:color w:val="000000"/>
          <w:sz w:val="32"/>
        </w:rPr>
        <w:t>聚焦</w:t>
      </w:r>
      <w:r>
        <w:rPr>
          <w:rFonts w:hint="eastAsia" w:ascii="楷体_GB2312" w:hAnsi="楷体_GB2312" w:eastAsia="楷体_GB2312"/>
          <w:color w:val="000000"/>
          <w:sz w:val="32"/>
          <w:lang w:eastAsia="zh-CN"/>
        </w:rPr>
        <w:t>水利工程建设，夯实民生水利保障</w:t>
      </w:r>
      <w:r>
        <w:rPr>
          <w:rFonts w:hint="eastAsia" w:ascii="楷体_GB2312" w:hAnsi="楷体_GB2312" w:eastAsia="楷体_GB2312"/>
          <w:color w:val="000000"/>
          <w:sz w:val="32"/>
        </w:rPr>
        <w:t>。</w:t>
      </w:r>
      <w:r>
        <w:rPr>
          <w:rFonts w:hint="default" w:ascii="仿宋_GB2312" w:hAnsi="仿宋_GB2312" w:eastAsia="仿宋_GB2312" w:cs="Times New Roman"/>
          <w:color w:val="000000"/>
          <w:sz w:val="32"/>
          <w:szCs w:val="32"/>
          <w:lang w:val="en-US"/>
        </w:rPr>
        <w:t>2021年</w:t>
      </w:r>
      <w:r>
        <w:rPr>
          <w:rFonts w:hint="eastAsia" w:ascii="仿宋_GB2312" w:hAnsi="仿宋_GB2312" w:eastAsia="仿宋_GB2312" w:cs="Times New Roman"/>
          <w:color w:val="000000"/>
          <w:sz w:val="32"/>
          <w:szCs w:val="32"/>
          <w:lang w:val="en-US" w:eastAsia="zh-CN"/>
        </w:rPr>
        <w:t>度</w:t>
      </w:r>
      <w:r>
        <w:rPr>
          <w:rFonts w:hint="default" w:ascii="仿宋_GB2312" w:hAnsi="仿宋_GB2312" w:eastAsia="仿宋_GB2312" w:cs="Times New Roman"/>
          <w:color w:val="000000"/>
          <w:sz w:val="32"/>
          <w:szCs w:val="32"/>
          <w:lang w:val="en-US"/>
        </w:rPr>
        <w:t>，宝兴县“8</w:t>
      </w:r>
      <w:r>
        <w:rPr>
          <w:rFonts w:hint="eastAsia" w:ascii="仿宋_GB2312" w:hAnsi="仿宋_GB2312" w:eastAsia="仿宋_GB2312" w:cs="Times New Roman"/>
          <w:color w:val="000000"/>
          <w:sz w:val="32"/>
          <w:szCs w:val="32"/>
          <w:lang w:val="en-US" w:eastAsia="zh-CN"/>
        </w:rPr>
        <w:t>·</w:t>
      </w:r>
      <w:r>
        <w:rPr>
          <w:rFonts w:hint="default" w:ascii="仿宋_GB2312" w:hAnsi="仿宋_GB2312" w:eastAsia="仿宋_GB2312" w:cs="Times New Roman"/>
          <w:color w:val="000000"/>
          <w:sz w:val="32"/>
          <w:szCs w:val="32"/>
          <w:lang w:val="en-US"/>
        </w:rPr>
        <w:t>11”系列特大暴雨灾害堤防抢险救灾工程、陇西河综合整治项目等11个全市重点水利项目顺利推进，累计完成投资51574万元，年度投资完成率达100%。全市累计完成</w:t>
      </w:r>
      <w:r>
        <w:rPr>
          <w:rFonts w:hint="eastAsia" w:ascii="仿宋_GB2312" w:hAnsi="仿宋_GB2312" w:eastAsia="仿宋_GB2312" w:cs="Times New Roman"/>
          <w:color w:val="000000"/>
          <w:sz w:val="32"/>
          <w:szCs w:val="32"/>
          <w:lang w:val="en-US" w:eastAsia="zh-CN"/>
        </w:rPr>
        <w:t>水利</w:t>
      </w:r>
      <w:r>
        <w:rPr>
          <w:rFonts w:hint="default" w:ascii="仿宋_GB2312" w:hAnsi="仿宋_GB2312" w:eastAsia="仿宋_GB2312" w:cs="Times New Roman"/>
          <w:color w:val="000000"/>
          <w:sz w:val="32"/>
          <w:szCs w:val="32"/>
          <w:lang w:val="en-US"/>
        </w:rPr>
        <w:t>固定资产投资</w:t>
      </w:r>
      <w:r>
        <w:rPr>
          <w:rFonts w:hint="eastAsia" w:ascii="仿宋_GB2312" w:hAnsi="仿宋_GB2312" w:eastAsia="仿宋_GB2312" w:cs="Times New Roman"/>
          <w:color w:val="000000"/>
          <w:sz w:val="32"/>
          <w:szCs w:val="32"/>
          <w:lang w:val="en-US" w:eastAsia="zh-CN"/>
        </w:rPr>
        <w:t>4.81</w:t>
      </w:r>
      <w:r>
        <w:rPr>
          <w:rFonts w:hint="default" w:ascii="仿宋_GB2312" w:hAnsi="仿宋_GB2312" w:eastAsia="仿宋_GB2312" w:cs="Times New Roman"/>
          <w:color w:val="000000"/>
          <w:sz w:val="32"/>
          <w:szCs w:val="32"/>
          <w:lang w:val="en-US"/>
        </w:rPr>
        <w:t>亿元；已下达中央预算内投资15478万元，完成投资</w:t>
      </w:r>
      <w:r>
        <w:rPr>
          <w:rFonts w:hint="eastAsia" w:ascii="仿宋_GB2312" w:hAnsi="仿宋_GB2312" w:eastAsia="仿宋_GB2312" w:cs="Times New Roman"/>
          <w:color w:val="000000"/>
          <w:sz w:val="32"/>
          <w:szCs w:val="32"/>
          <w:lang w:val="en-US" w:eastAsia="zh-CN"/>
        </w:rPr>
        <w:t>12968.57</w:t>
      </w:r>
      <w:r>
        <w:rPr>
          <w:rFonts w:hint="default" w:ascii="仿宋_GB2312" w:hAnsi="仿宋_GB2312" w:eastAsia="仿宋_GB2312" w:cs="Times New Roman"/>
          <w:color w:val="000000"/>
          <w:sz w:val="32"/>
          <w:szCs w:val="32"/>
          <w:lang w:val="en-US"/>
        </w:rPr>
        <w:t>万元；积极配合做好引大济岷工程可研地勘及长征渠相岭湖水库大坝选址调查等前期工作；加快</w:t>
      </w:r>
      <w:r>
        <w:rPr>
          <w:rFonts w:hint="eastAsia" w:ascii="仿宋_GB2312" w:hAnsi="仿宋_GB2312" w:eastAsia="仿宋_GB2312" w:cs="Times New Roman"/>
          <w:color w:val="000000"/>
          <w:sz w:val="32"/>
          <w:szCs w:val="32"/>
          <w:lang w:val="en-US" w:eastAsia="zh-CN"/>
        </w:rPr>
        <w:t>《</w:t>
      </w:r>
      <w:r>
        <w:rPr>
          <w:rFonts w:hint="default" w:ascii="仿宋_GB2312" w:hAnsi="仿宋_GB2312" w:eastAsia="仿宋_GB2312" w:cs="Times New Roman"/>
          <w:color w:val="000000"/>
          <w:sz w:val="32"/>
          <w:szCs w:val="32"/>
          <w:lang w:val="en-US"/>
        </w:rPr>
        <w:t>“十四五”水安全保障规划</w:t>
      </w:r>
      <w:r>
        <w:rPr>
          <w:rFonts w:hint="eastAsia" w:ascii="仿宋_GB2312" w:hAnsi="仿宋_GB2312" w:eastAsia="仿宋_GB2312" w:cs="Times New Roman"/>
          <w:color w:val="000000"/>
          <w:sz w:val="32"/>
          <w:szCs w:val="32"/>
          <w:lang w:val="en-US" w:eastAsia="zh-CN"/>
        </w:rPr>
        <w:t>》</w:t>
      </w:r>
      <w:r>
        <w:rPr>
          <w:rFonts w:hint="default" w:ascii="仿宋_GB2312" w:hAnsi="仿宋_GB2312" w:eastAsia="仿宋_GB2312" w:cs="Times New Roman"/>
          <w:color w:val="000000"/>
          <w:sz w:val="32"/>
          <w:szCs w:val="32"/>
          <w:lang w:val="en-US"/>
        </w:rPr>
        <w:t>编制，</w:t>
      </w:r>
      <w:r>
        <w:rPr>
          <w:rFonts w:hint="eastAsia" w:ascii="仿宋_GB2312" w:hAnsi="仿宋_GB2312" w:eastAsia="仿宋_GB2312" w:cs="Times New Roman"/>
          <w:color w:val="000000"/>
          <w:sz w:val="32"/>
          <w:szCs w:val="32"/>
          <w:lang w:val="en-US" w:eastAsia="zh-CN"/>
        </w:rPr>
        <w:t>已报</w:t>
      </w:r>
      <w:r>
        <w:rPr>
          <w:rFonts w:hint="default" w:ascii="仿宋_GB2312" w:hAnsi="仿宋_GB2312" w:eastAsia="仿宋_GB2312" w:cs="Times New Roman"/>
          <w:color w:val="000000"/>
          <w:sz w:val="32"/>
          <w:szCs w:val="32"/>
          <w:lang w:val="en-US"/>
        </w:rPr>
        <w:t>市政府审定</w:t>
      </w:r>
      <w:r>
        <w:rPr>
          <w:rFonts w:hint="eastAsia" w:ascii="仿宋_GB2312" w:hAnsi="仿宋_GB2312" w:eastAsia="仿宋_GB2312" w:cs="Times New Roman"/>
          <w:color w:val="000000"/>
          <w:sz w:val="32"/>
          <w:szCs w:val="32"/>
          <w:lang w:val="en-US" w:eastAsia="zh-CN"/>
        </w:rPr>
        <w:t>。</w:t>
      </w:r>
    </w:p>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_GB2312" w:hAnsi="仿宋_GB2312" w:eastAsia="仿宋_GB2312" w:cs="仿宋_GB2312"/>
          <w:bCs/>
          <w:snapToGrid w:val="0"/>
          <w:color w:val="000000"/>
          <w:sz w:val="32"/>
          <w:szCs w:val="32"/>
          <w:lang w:val="en-US" w:eastAsia="zh-CN"/>
        </w:rPr>
        <w:t>7.</w:t>
      </w:r>
      <w:r>
        <w:rPr>
          <w:rFonts w:hint="eastAsia" w:ascii="楷体_GB2312" w:hAnsi="楷体_GB2312" w:eastAsia="楷体_GB2312"/>
          <w:color w:val="000000"/>
          <w:sz w:val="32"/>
          <w:lang w:eastAsia="zh-CN"/>
        </w:rPr>
        <w:t>办好民生服务实事，抓实移民安置与后扶工作</w:t>
      </w:r>
      <w:r>
        <w:rPr>
          <w:rFonts w:hint="eastAsia" w:ascii="楷体_GB2312" w:hAnsi="楷体_GB2312" w:eastAsia="楷体_GB2312"/>
          <w:color w:val="000000"/>
          <w:sz w:val="32"/>
        </w:rPr>
        <w:t>。</w:t>
      </w:r>
      <w:r>
        <w:rPr>
          <w:rFonts w:hint="eastAsia" w:ascii="仿宋_GB2312" w:hAnsi="仿宋_GB2312" w:eastAsia="仿宋_GB2312" w:cs="仿宋_GB2312"/>
          <w:bCs/>
          <w:snapToGrid w:val="0"/>
          <w:color w:val="000000"/>
          <w:sz w:val="32"/>
          <w:szCs w:val="32"/>
        </w:rPr>
        <w:t>完成大岗山、瀑布沟2座水电站移民安置任务10项，新增移民资金3.75亿元，消化存量资金0.3亿元</w:t>
      </w:r>
      <w:r>
        <w:rPr>
          <w:rFonts w:hint="eastAsia" w:ascii="仿宋_GB2312" w:hAnsi="仿宋_GB2312" w:eastAsia="仿宋_GB2312" w:cs="仿宋_GB2312"/>
          <w:bCs/>
          <w:snapToGrid w:val="0"/>
          <w:color w:val="000000"/>
          <w:sz w:val="32"/>
          <w:szCs w:val="32"/>
          <w:lang w:eastAsia="zh-CN"/>
        </w:rPr>
        <w:t>。全面完成锅浪跷水电站92户308人安置工作，完成投资约3.2亿元。正全力加快大渡河老鹰岩一级、二级水电站可研工作收口及核准报建手续办理，确保年底核准；2021年，全市享受移民后期扶持政策农村移民人口动态数据72499人，累计发放农村移民后扶直发直补资金4400多万元。投入移民后扶财政资金9235万元，编制实施移民后期扶持项目106个，进一步改善和提高移民群众的生活品质。编制《雅安市移民“十四五”规划（2021—2025）》，建成并正式运行惠民惠农财政补贴“一卡通”发放监管系统、阳光审批系统，实现我市水库移民财政补贴资金“阳光审批、阳光发放、阳光监管”。</w:t>
      </w:r>
    </w:p>
    <w:p>
      <w:pPr>
        <w:pStyle w:val="4"/>
        <w:rPr>
          <w:rStyle w:val="27"/>
          <w:b w:val="0"/>
          <w:bCs w:val="0"/>
          <w:color w:val="auto"/>
          <w:highlight w:val="none"/>
        </w:rPr>
      </w:pPr>
      <w:bookmarkStart w:id="45" w:name="_Toc15377200"/>
      <w:bookmarkStart w:id="46" w:name="_Toc15396601"/>
      <w:bookmarkStart w:id="47" w:name="_Toc13202_WPSOffice_Level2"/>
      <w:r>
        <w:rPr>
          <w:rFonts w:hint="eastAsia" w:ascii="黑体" w:eastAsia="黑体"/>
          <w:b w:val="0"/>
          <w:color w:val="auto"/>
          <w:highlight w:val="none"/>
        </w:rPr>
        <w:t>二、</w:t>
      </w:r>
      <w:r>
        <w:rPr>
          <w:rFonts w:hint="eastAsia" w:ascii="黑体" w:hAnsi="黑体" w:eastAsia="黑体"/>
          <w:b w:val="0"/>
          <w:color w:val="auto"/>
          <w:highlight w:val="none"/>
        </w:rPr>
        <w:t>机</w:t>
      </w:r>
      <w:r>
        <w:rPr>
          <w:rStyle w:val="27"/>
          <w:rFonts w:hint="eastAsia" w:ascii="黑体" w:hAnsi="黑体" w:eastAsia="黑体"/>
          <w:b w:val="0"/>
          <w:bCs w:val="0"/>
          <w:color w:val="auto"/>
          <w:highlight w:val="none"/>
        </w:rPr>
        <w:t>构设置</w:t>
      </w:r>
      <w:bookmarkEnd w:id="45"/>
      <w:bookmarkEnd w:id="46"/>
      <w:bookmarkEnd w:id="47"/>
    </w:p>
    <w:p>
      <w:pPr>
        <w:ind w:firstLine="800" w:firstLineChars="25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eastAsia="zh-CN"/>
        </w:rPr>
        <w:t>雅安市水利局</w:t>
      </w:r>
      <w:r>
        <w:rPr>
          <w:rFonts w:hint="eastAsia" w:ascii="仿宋" w:hAnsi="仿宋" w:eastAsia="仿宋"/>
          <w:color w:val="auto"/>
          <w:sz w:val="32"/>
          <w:szCs w:val="32"/>
          <w:highlight w:val="none"/>
        </w:rPr>
        <w:t>下属二级单位</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个，参照公务员法管理的事业单位</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个。</w:t>
      </w:r>
    </w:p>
    <w:p>
      <w:pPr>
        <w:pStyle w:val="2"/>
        <w:adjustRightInd w:val="0"/>
        <w:snapToGrid w:val="0"/>
        <w:spacing w:before="93" w:line="600" w:lineRule="exact"/>
        <w:ind w:firstLine="672" w:firstLineChars="210"/>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eastAsia="zh-CN"/>
        </w:rPr>
        <w:t>雅安市水利局</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年度部门决算编制范围的二级预算单位包括</w:t>
      </w:r>
    </w:p>
    <w:p>
      <w:pPr>
        <w:pStyle w:val="2"/>
        <w:numPr>
          <w:ilvl w:val="0"/>
          <w:numId w:val="0"/>
        </w:numPr>
        <w:adjustRightInd w:val="0"/>
        <w:snapToGrid w:val="0"/>
        <w:spacing w:before="93" w:line="600" w:lineRule="exact"/>
        <w:ind w:left="672" w:leftChars="0"/>
        <w:outlineLvl w:val="2"/>
        <w:rPr>
          <w:rFonts w:ascii="仿宋" w:hAnsi="仿宋" w:eastAsia="仿宋"/>
          <w:color w:val="auto"/>
          <w:sz w:val="32"/>
          <w:szCs w:val="32"/>
          <w:highlight w:val="none"/>
        </w:rPr>
      </w:pPr>
      <w:bookmarkStart w:id="48" w:name="_Toc24058_WPSOffice_Level3"/>
      <w:bookmarkStart w:id="49" w:name="_Toc26562_WPSOffice_Level3"/>
      <w:bookmarkStart w:id="50" w:name="_Toc17486_WPSOffice_Level3"/>
      <w:r>
        <w:rPr>
          <w:rFonts w:hint="eastAsia" w:ascii="仿宋" w:hAnsi="仿宋" w:eastAsia="仿宋"/>
          <w:color w:val="auto"/>
          <w:sz w:val="32"/>
          <w:szCs w:val="32"/>
          <w:highlight w:val="none"/>
          <w:lang w:val="en-US" w:eastAsia="zh-CN"/>
        </w:rPr>
        <w:t>1.雅</w:t>
      </w:r>
      <w:r>
        <w:rPr>
          <w:rFonts w:hint="eastAsia" w:ascii="仿宋" w:hAnsi="仿宋" w:eastAsia="仿宋"/>
          <w:color w:val="auto"/>
          <w:sz w:val="32"/>
          <w:szCs w:val="32"/>
          <w:highlight w:val="none"/>
          <w:lang w:eastAsia="zh-CN"/>
        </w:rPr>
        <w:t>安市水利局（</w:t>
      </w:r>
      <w:r>
        <w:rPr>
          <w:rFonts w:hint="eastAsia" w:ascii="仿宋" w:hAnsi="仿宋" w:eastAsia="仿宋"/>
          <w:color w:val="auto"/>
          <w:sz w:val="32"/>
          <w:szCs w:val="32"/>
          <w:highlight w:val="none"/>
          <w:lang w:val="en-US" w:eastAsia="zh-CN"/>
        </w:rPr>
        <w:t>本级</w:t>
      </w:r>
      <w:r>
        <w:rPr>
          <w:rFonts w:hint="eastAsia" w:ascii="仿宋" w:hAnsi="仿宋" w:eastAsia="仿宋"/>
          <w:color w:val="auto"/>
          <w:sz w:val="32"/>
          <w:szCs w:val="32"/>
          <w:highlight w:val="none"/>
          <w:lang w:eastAsia="zh-CN"/>
        </w:rPr>
        <w:t>）</w:t>
      </w:r>
      <w:bookmarkEnd w:id="48"/>
      <w:bookmarkEnd w:id="49"/>
      <w:bookmarkEnd w:id="50"/>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6"/>
          <w:rFonts w:ascii="黑体" w:hAnsi="黑体" w:eastAsia="黑体"/>
          <w:b w:val="0"/>
          <w:bCs/>
          <w:color w:val="auto"/>
          <w:highlight w:val="none"/>
        </w:rPr>
      </w:pPr>
      <w:bookmarkStart w:id="51" w:name="_Toc15396602"/>
      <w:bookmarkStart w:id="52" w:name="_Toc21177_WPSOffice_Level1"/>
      <w:bookmarkStart w:id="53"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rPr>
        <w:t>部门决算情况说明</w:t>
      </w:r>
      <w:bookmarkEnd w:id="51"/>
      <w:bookmarkEnd w:id="52"/>
      <w:bookmarkEnd w:id="53"/>
    </w:p>
    <w:p>
      <w:pPr>
        <w:rPr>
          <w:color w:val="auto"/>
          <w:highlight w:val="none"/>
        </w:rPr>
      </w:pP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54" w:name="_Toc17486_WPSOffice_Level2"/>
      <w:bookmarkStart w:id="55" w:name="_Toc15396603"/>
      <w:bookmarkStart w:id="56" w:name="_Toc15377205"/>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54"/>
      <w:bookmarkEnd w:id="55"/>
      <w:bookmarkEnd w:id="56"/>
    </w:p>
    <w:p>
      <w:pPr>
        <w:spacing w:line="600" w:lineRule="exact"/>
        <w:ind w:firstLine="640" w:firstLineChars="200"/>
        <w:rPr>
          <w:rFonts w:hint="eastAsia" w:ascii="仿宋" w:hAnsi="仿宋" w:eastAsia="仿宋"/>
          <w:b/>
          <w:color w:val="FF0000"/>
          <w:sz w:val="32"/>
          <w:szCs w:val="32"/>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4,309.56</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17858.62</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80.56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rPr>
        <w:t>了政府性基金预算财政拨款16,800.00万元</w:t>
      </w:r>
    </w:p>
    <w:p>
      <w:pPr>
        <w:pStyle w:val="17"/>
        <w:rPr>
          <w:rFonts w:hint="eastAsia" w:ascii="仿宋" w:hAnsi="仿宋" w:eastAsia="仿宋"/>
          <w:b/>
          <w:color w:val="FF0000"/>
          <w:sz w:val="32"/>
          <w:szCs w:val="32"/>
        </w:rPr>
      </w:pPr>
    </w:p>
    <w:p>
      <w:pPr>
        <w:jc w:val="center"/>
        <w:rPr>
          <w:rFonts w:ascii="仿宋_GB2312" w:eastAsia="仿宋_GB2312"/>
          <w:color w:val="auto"/>
          <w:sz w:val="32"/>
          <w:szCs w:val="32"/>
          <w:highlight w:val="none"/>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57" w:name="_Toc15396604"/>
      <w:bookmarkStart w:id="58" w:name="_Toc5553_WPSOffice_Level2"/>
      <w:bookmarkStart w:id="59" w:name="_Toc15377206"/>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57"/>
      <w:bookmarkEnd w:id="58"/>
      <w:bookmarkEnd w:id="59"/>
    </w:p>
    <w:p>
      <w:pPr>
        <w:spacing w:line="600" w:lineRule="exact"/>
        <w:ind w:firstLine="640" w:firstLineChars="200"/>
        <w:outlineLvl w:val="1"/>
        <w:rPr>
          <w:rFonts w:hint="eastAsia" w:ascii="仿宋" w:hAnsi="仿宋" w:eastAsia="仿宋"/>
          <w:b/>
          <w:color w:val="auto"/>
          <w:sz w:val="32"/>
          <w:szCs w:val="32"/>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年本年收入合计2,021.22万元，其中：一般公共预算财政拨款收入2,021.22万元，占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17"/>
        <w:jc w:val="center"/>
        <w:rPr>
          <w:rFonts w:ascii="仿宋_GB2312" w:eastAsia="仿宋_GB2312"/>
          <w:color w:val="FF0000"/>
          <w:sz w:val="32"/>
          <w:szCs w:val="32"/>
          <w:highlight w:val="none"/>
        </w:rPr>
      </w:pPr>
      <w:r>
        <w:drawing>
          <wp:inline distT="0" distB="0" distL="114300" distR="114300">
            <wp:extent cx="3890645" cy="1814195"/>
            <wp:effectExtent l="4445" t="4445" r="10160" b="1016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60" w:name="_Toc15377207"/>
      <w:bookmarkStart w:id="61" w:name="_Toc32373_WPSOffice_Level2"/>
      <w:bookmarkStart w:id="62" w:name="_Toc15396605"/>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60"/>
      <w:bookmarkEnd w:id="61"/>
      <w:bookmarkEnd w:id="62"/>
    </w:p>
    <w:p>
      <w:pPr>
        <w:spacing w:line="600" w:lineRule="exact"/>
        <w:ind w:firstLine="640" w:firstLineChars="200"/>
        <w:outlineLvl w:val="1"/>
        <w:rPr>
          <w:rFonts w:hint="eastAsia" w:ascii="仿宋" w:hAnsi="仿宋" w:eastAsia="仿宋"/>
          <w:b/>
          <w:color w:val="auto"/>
          <w:sz w:val="32"/>
          <w:szCs w:val="32"/>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年本年支出合计3860.54万元，其中：基本支出2,769.38万元，占</w:t>
      </w:r>
      <w:r>
        <w:rPr>
          <w:rFonts w:hint="eastAsia" w:ascii="仿宋" w:hAnsi="仿宋" w:eastAsia="仿宋"/>
          <w:color w:val="auto"/>
          <w:sz w:val="32"/>
          <w:szCs w:val="32"/>
          <w:highlight w:val="none"/>
          <w:lang w:val="en-US" w:eastAsia="zh-CN"/>
        </w:rPr>
        <w:t>71.74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；项目支出1,091.16万元，占</w:t>
      </w:r>
      <w:r>
        <w:rPr>
          <w:rFonts w:hint="eastAsia" w:ascii="仿宋" w:hAnsi="仿宋" w:eastAsia="仿宋"/>
          <w:color w:val="auto"/>
          <w:sz w:val="32"/>
          <w:szCs w:val="32"/>
          <w:highlight w:val="none"/>
          <w:lang w:val="en-US" w:eastAsia="zh-CN"/>
        </w:rPr>
        <w:t>28.26</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17"/>
        <w:jc w:val="center"/>
        <w:rPr>
          <w:rFonts w:ascii="仿宋" w:hAnsi="仿宋" w:eastAsia="仿宋"/>
          <w:color w:val="auto"/>
          <w:sz w:val="32"/>
          <w:szCs w:val="32"/>
          <w:highlight w:val="none"/>
          <w:shd w:val="pct10" w:color="auto" w:fill="FFFFFF"/>
        </w:rPr>
      </w:pPr>
      <w: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7"/>
          <w:rFonts w:ascii="黑体" w:hAnsi="黑体" w:eastAsia="黑体"/>
          <w:b w:val="0"/>
          <w:color w:val="auto"/>
          <w:highlight w:val="none"/>
        </w:rPr>
      </w:pPr>
      <w:bookmarkStart w:id="63" w:name="_Toc15396606"/>
      <w:bookmarkStart w:id="64" w:name="_Toc13904_WPSOffice_Level2"/>
      <w:bookmarkStart w:id="65" w:name="_Toc15377208"/>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63"/>
      <w:bookmarkEnd w:id="64"/>
      <w:bookmarkEnd w:id="6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4309.56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17858.62</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80.56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rPr>
        <w:t>了政府性基金预算财政拨款16,800.00万元</w:t>
      </w:r>
      <w:r>
        <w:rPr>
          <w:rFonts w:hint="eastAsia" w:ascii="仿宋" w:hAnsi="仿宋" w:eastAsia="仿宋"/>
          <w:color w:val="auto"/>
          <w:sz w:val="32"/>
          <w:szCs w:val="32"/>
          <w:highlight w:val="none"/>
          <w:lang w:eastAsia="zh-CN"/>
        </w:rPr>
        <w:t>。</w:t>
      </w:r>
    </w:p>
    <w:p>
      <w:pPr>
        <w:pStyle w:val="17"/>
        <w:jc w:val="center"/>
        <w:rPr>
          <w:rFonts w:ascii="仿宋" w:hAnsi="仿宋" w:eastAsia="仿宋"/>
          <w:b/>
          <w:color w:val="FF0000"/>
          <w:sz w:val="32"/>
          <w:szCs w:val="32"/>
          <w:highlight w:val="none"/>
        </w:rPr>
      </w:pPr>
      <w:r>
        <w:drawing>
          <wp:inline distT="0" distB="0" distL="114300" distR="114300">
            <wp:extent cx="4572000" cy="2267585"/>
            <wp:effectExtent l="4445" t="4445" r="14605" b="1397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color w:val="auto"/>
          <w:sz w:val="32"/>
          <w:szCs w:val="32"/>
          <w:highlight w:val="none"/>
        </w:rPr>
      </w:pPr>
    </w:p>
    <w:p>
      <w:pPr>
        <w:spacing w:line="600" w:lineRule="exact"/>
        <w:ind w:firstLine="640" w:firstLineChars="200"/>
        <w:outlineLvl w:val="1"/>
        <w:rPr>
          <w:rStyle w:val="27"/>
          <w:rFonts w:ascii="黑体" w:hAnsi="黑体" w:eastAsia="黑体"/>
          <w:b w:val="0"/>
          <w:color w:val="auto"/>
          <w:highlight w:val="none"/>
        </w:rPr>
      </w:pPr>
      <w:bookmarkStart w:id="66" w:name="_Toc15377209"/>
      <w:bookmarkStart w:id="67" w:name="_Toc15396607"/>
      <w:bookmarkStart w:id="68" w:name="_Toc23930_WPSOffice_Level2"/>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66"/>
      <w:bookmarkEnd w:id="67"/>
      <w:bookmarkEnd w:id="68"/>
    </w:p>
    <w:p>
      <w:pPr>
        <w:spacing w:line="600" w:lineRule="exact"/>
        <w:ind w:firstLine="643" w:firstLineChars="200"/>
        <w:outlineLvl w:val="2"/>
        <w:rPr>
          <w:rFonts w:ascii="仿宋" w:hAnsi="仿宋" w:eastAsia="仿宋"/>
          <w:b/>
          <w:color w:val="auto"/>
          <w:sz w:val="32"/>
          <w:szCs w:val="32"/>
          <w:highlight w:val="none"/>
        </w:rPr>
      </w:pPr>
      <w:bookmarkStart w:id="69" w:name="_Toc20680_WPSOffice_Level3"/>
      <w:bookmarkStart w:id="70" w:name="_Toc15377210"/>
      <w:bookmarkStart w:id="71" w:name="_Toc10144_WPSOffice_Level3"/>
      <w:bookmarkStart w:id="72" w:name="_Toc5553_WPSOffice_Level3"/>
      <w:r>
        <w:rPr>
          <w:rFonts w:hint="eastAsia" w:ascii="仿宋" w:hAnsi="仿宋" w:eastAsia="仿宋"/>
          <w:b/>
          <w:color w:val="auto"/>
          <w:sz w:val="32"/>
          <w:szCs w:val="32"/>
          <w:highlight w:val="none"/>
        </w:rPr>
        <w:t>（一）一般公共预算财政拨款支出决算总体情况</w:t>
      </w:r>
      <w:bookmarkEnd w:id="69"/>
      <w:bookmarkEnd w:id="70"/>
      <w:bookmarkEnd w:id="71"/>
      <w:bookmarkEnd w:id="72"/>
    </w:p>
    <w:p>
      <w:pPr>
        <w:spacing w:line="600" w:lineRule="exact"/>
        <w:rPr>
          <w:rFonts w:hint="eastAsia" w:ascii="仿宋" w:hAnsi="仿宋" w:eastAsia="仿宋"/>
          <w:color w:val="FF0000"/>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年一般公共预算财政拨款支出3,860.54万元，占本年支出合计的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558.45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16.91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社会保障和就业支出和农林水支出增加。</w:t>
      </w:r>
    </w:p>
    <w:p>
      <w:pPr>
        <w:pStyle w:val="17"/>
        <w:jc w:val="center"/>
        <w:rPr>
          <w:rFonts w:ascii="仿宋" w:hAnsi="仿宋" w:eastAsia="仿宋"/>
          <w:color w:val="auto"/>
          <w:sz w:val="32"/>
          <w:szCs w:val="32"/>
          <w:highlight w:val="none"/>
        </w:rPr>
      </w:pPr>
      <w:r>
        <w:drawing>
          <wp:inline distT="0" distB="0" distL="114300" distR="114300">
            <wp:extent cx="4572000" cy="2443480"/>
            <wp:effectExtent l="4445" t="4445" r="14605" b="952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73" w:name="_Toc4748_WPSOffice_Level3"/>
      <w:bookmarkStart w:id="74" w:name="_Toc17684_WPSOffice_Level3"/>
      <w:bookmarkStart w:id="75" w:name="_Toc32373_WPSOffice_Level3"/>
      <w:bookmarkStart w:id="76" w:name="_Toc15377211"/>
      <w:r>
        <w:rPr>
          <w:rFonts w:hint="eastAsia" w:ascii="仿宋" w:hAnsi="仿宋" w:eastAsia="仿宋"/>
          <w:b/>
          <w:color w:val="auto"/>
          <w:sz w:val="32"/>
          <w:szCs w:val="32"/>
          <w:highlight w:val="none"/>
        </w:rPr>
        <w:t>（二）一般公共预算财政拨款支出决算结构情况</w:t>
      </w:r>
      <w:bookmarkEnd w:id="73"/>
      <w:bookmarkEnd w:id="74"/>
      <w:bookmarkEnd w:id="75"/>
      <w:bookmarkEnd w:id="76"/>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3860.54</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cs="Times New Roman"/>
          <w:color w:val="auto"/>
          <w:sz w:val="32"/>
          <w:szCs w:val="32"/>
          <w:highlight w:val="none"/>
        </w:rPr>
        <w:t>社会保障和就业（类）支出</w:t>
      </w:r>
      <w:r>
        <w:rPr>
          <w:rFonts w:hint="eastAsia" w:ascii="仿宋" w:hAnsi="仿宋" w:eastAsia="仿宋" w:cs="Times New Roman"/>
          <w:color w:val="auto"/>
          <w:sz w:val="32"/>
          <w:szCs w:val="32"/>
          <w:highlight w:val="none"/>
          <w:lang w:val="en-US" w:eastAsia="zh-CN"/>
        </w:rPr>
        <w:t>308.56</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7.99</w:t>
      </w:r>
      <w:r>
        <w:rPr>
          <w:rFonts w:hint="eastAsia" w:ascii="仿宋" w:hAnsi="仿宋" w:eastAsia="仿宋" w:cs="Times New Roman"/>
          <w:color w:val="auto"/>
          <w:sz w:val="32"/>
          <w:szCs w:val="32"/>
          <w:highlight w:val="none"/>
        </w:rPr>
        <w:t>%；卫生健康支出</w:t>
      </w:r>
      <w:r>
        <w:rPr>
          <w:rFonts w:hint="eastAsia" w:ascii="仿宋" w:hAnsi="仿宋" w:eastAsia="仿宋" w:cs="Times New Roman"/>
          <w:color w:val="auto"/>
          <w:sz w:val="32"/>
          <w:szCs w:val="32"/>
          <w:highlight w:val="none"/>
          <w:lang w:val="en-US" w:eastAsia="zh-CN"/>
        </w:rPr>
        <w:t>86.81</w:t>
      </w:r>
      <w:r>
        <w:rPr>
          <w:rFonts w:hint="eastAsia" w:ascii="仿宋" w:hAnsi="仿宋" w:eastAsia="仿宋" w:cs="Times New Roman"/>
          <w:color w:val="auto"/>
          <w:sz w:val="32"/>
          <w:szCs w:val="32"/>
          <w:highlight w:val="none"/>
        </w:rPr>
        <w:t>万元，占2.</w:t>
      </w:r>
      <w:r>
        <w:rPr>
          <w:rFonts w:hint="eastAsia" w:ascii="仿宋" w:hAnsi="仿宋" w:eastAsia="仿宋" w:cs="Times New Roman"/>
          <w:color w:val="auto"/>
          <w:sz w:val="32"/>
          <w:szCs w:val="32"/>
          <w:highlight w:val="none"/>
          <w:lang w:val="en-US" w:eastAsia="zh-CN"/>
        </w:rPr>
        <w:t>25</w:t>
      </w:r>
      <w:r>
        <w:rPr>
          <w:rFonts w:hint="eastAsia" w:ascii="仿宋" w:hAnsi="仿宋" w:eastAsia="仿宋" w:cs="Times New Roman"/>
          <w:color w:val="auto"/>
          <w:sz w:val="32"/>
          <w:szCs w:val="32"/>
          <w:highlight w:val="none"/>
        </w:rPr>
        <w:t>%；农林水支出（类）</w:t>
      </w:r>
      <w:r>
        <w:rPr>
          <w:rFonts w:hint="eastAsia" w:ascii="仿宋" w:hAnsi="仿宋" w:eastAsia="仿宋" w:cs="Times New Roman"/>
          <w:color w:val="auto"/>
          <w:sz w:val="32"/>
          <w:szCs w:val="32"/>
          <w:highlight w:val="none"/>
          <w:lang w:val="en-US" w:eastAsia="zh-CN"/>
        </w:rPr>
        <w:t>2871.81</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74.39</w:t>
      </w:r>
      <w:r>
        <w:rPr>
          <w:rFonts w:hint="eastAsia" w:ascii="仿宋" w:hAnsi="仿宋" w:eastAsia="仿宋" w:cs="Times New Roman"/>
          <w:color w:val="auto"/>
          <w:sz w:val="32"/>
          <w:szCs w:val="32"/>
          <w:highlight w:val="none"/>
        </w:rPr>
        <w:t>%；住房保障支出</w:t>
      </w:r>
      <w:r>
        <w:rPr>
          <w:rFonts w:hint="eastAsia" w:ascii="仿宋" w:hAnsi="仿宋" w:eastAsia="仿宋" w:cs="Times New Roman"/>
          <w:color w:val="auto"/>
          <w:sz w:val="32"/>
          <w:szCs w:val="32"/>
          <w:highlight w:val="none"/>
          <w:lang w:val="en-US" w:eastAsia="zh-CN"/>
        </w:rPr>
        <w:t>93.35</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2.42</w:t>
      </w: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lang w:eastAsia="zh-CN"/>
        </w:rPr>
        <w:t>；其他支出（类）</w:t>
      </w:r>
      <w:r>
        <w:rPr>
          <w:rFonts w:hint="eastAsia" w:ascii="仿宋" w:hAnsi="仿宋" w:eastAsia="仿宋" w:cs="Times New Roman"/>
          <w:color w:val="auto"/>
          <w:sz w:val="32"/>
          <w:szCs w:val="32"/>
          <w:highlight w:val="none"/>
          <w:lang w:val="en-US" w:eastAsia="zh-CN"/>
        </w:rPr>
        <w:t>500万元，</w:t>
      </w:r>
      <w:r>
        <w:rPr>
          <w:rFonts w:hint="eastAsia" w:ascii="仿宋" w:hAnsi="仿宋" w:eastAsia="仿宋" w:cs="Times New Roman"/>
          <w:color w:val="auto"/>
          <w:sz w:val="32"/>
          <w:szCs w:val="32"/>
          <w:highlight w:val="none"/>
        </w:rPr>
        <w:t>占</w:t>
      </w:r>
      <w:r>
        <w:rPr>
          <w:rFonts w:hint="eastAsia" w:ascii="仿宋" w:hAnsi="仿宋" w:eastAsia="仿宋" w:cs="Times New Roman"/>
          <w:color w:val="auto"/>
          <w:sz w:val="32"/>
          <w:szCs w:val="32"/>
          <w:highlight w:val="none"/>
          <w:lang w:val="en-US" w:eastAsia="zh-CN"/>
        </w:rPr>
        <w:t>12.95</w:t>
      </w:r>
      <w:r>
        <w:rPr>
          <w:rFonts w:hint="eastAsia" w:ascii="仿宋" w:hAnsi="仿宋" w:eastAsia="仿宋" w:cs="Times New Roman"/>
          <w:color w:val="auto"/>
          <w:sz w:val="32"/>
          <w:szCs w:val="32"/>
          <w:highlight w:val="none"/>
        </w:rPr>
        <w:t>%。</w:t>
      </w:r>
      <w:bookmarkStart w:id="77" w:name="_Toc15377212"/>
    </w:p>
    <w:p>
      <w:pPr>
        <w:pStyle w:val="17"/>
        <w:jc w:val="center"/>
        <w:rPr>
          <w:rFonts w:hint="eastAsia" w:ascii="仿宋" w:hAnsi="仿宋" w:eastAsia="仿宋"/>
          <w:color w:val="FF0000"/>
          <w:sz w:val="32"/>
          <w:szCs w:val="32"/>
          <w:highlight w:val="none"/>
        </w:rPr>
      </w:pPr>
      <w:r>
        <w:drawing>
          <wp:inline distT="0" distB="0" distL="114300" distR="114300">
            <wp:extent cx="4572000" cy="2743200"/>
            <wp:effectExtent l="4445" t="4445" r="14605" b="1460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hint="eastAsia" w:ascii="仿宋" w:hAnsi="仿宋" w:eastAsia="仿宋"/>
          <w:b/>
          <w:color w:val="auto"/>
          <w:sz w:val="32"/>
          <w:szCs w:val="32"/>
          <w:highlight w:val="none"/>
        </w:rPr>
      </w:pPr>
    </w:p>
    <w:p>
      <w:pPr>
        <w:spacing w:line="600" w:lineRule="exact"/>
        <w:ind w:firstLine="643" w:firstLineChars="200"/>
        <w:rPr>
          <w:rFonts w:ascii="仿宋" w:hAnsi="仿宋" w:eastAsia="仿宋"/>
          <w:b/>
          <w:color w:val="auto"/>
          <w:sz w:val="32"/>
          <w:szCs w:val="32"/>
          <w:highlight w:val="none"/>
        </w:rPr>
      </w:pPr>
      <w:bookmarkStart w:id="78" w:name="_Toc22848_WPSOffice_Level3"/>
      <w:bookmarkStart w:id="79" w:name="_Toc20708_WPSOffice_Level3"/>
      <w:bookmarkStart w:id="80" w:name="_Toc13904_WPSOffice_Level3"/>
      <w:r>
        <w:rPr>
          <w:rFonts w:hint="eastAsia" w:ascii="仿宋" w:hAnsi="仿宋" w:eastAsia="仿宋"/>
          <w:b/>
          <w:color w:val="auto"/>
          <w:sz w:val="32"/>
          <w:szCs w:val="32"/>
          <w:highlight w:val="none"/>
        </w:rPr>
        <w:t>（三）一般公共预算财政拨款支出决算具体情况</w:t>
      </w:r>
      <w:bookmarkEnd w:id="77"/>
      <w:bookmarkEnd w:id="78"/>
      <w:bookmarkEnd w:id="79"/>
      <w:bookmarkEnd w:id="80"/>
    </w:p>
    <w:p>
      <w:pPr>
        <w:spacing w:line="600" w:lineRule="exact"/>
        <w:ind w:firstLine="643" w:firstLineChars="200"/>
        <w:outlineLvl w:val="2"/>
        <w:rPr>
          <w:rStyle w:val="14"/>
          <w:rFonts w:hint="eastAsia" w:ascii="仿宋" w:hAnsi="仿宋" w:eastAsia="仿宋"/>
          <w:bCs/>
          <w:color w:val="auto"/>
          <w:sz w:val="32"/>
          <w:szCs w:val="32"/>
          <w:highlight w:val="none"/>
        </w:rPr>
      </w:pPr>
      <w:bookmarkStart w:id="81" w:name="_Toc15377213"/>
      <w:bookmarkStart w:id="82" w:name="_Toc15377444"/>
      <w:bookmarkStart w:id="8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3860.54</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90.88</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81"/>
      <w:bookmarkEnd w:id="82"/>
      <w:bookmarkEnd w:id="83"/>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1.社会保障和就业支出(类)行政事业单位养老支出(款)行政单位离退休(项):</w:t>
      </w:r>
      <w:r>
        <w:rPr>
          <w:rFonts w:hint="eastAsia" w:ascii="仿宋" w:hAnsi="仿宋" w:eastAsia="仿宋" w:cs="Times New Roman"/>
          <w:color w:val="auto"/>
          <w:kern w:val="2"/>
          <w:sz w:val="32"/>
          <w:szCs w:val="32"/>
          <w:highlight w:val="none"/>
          <w:lang w:val="en-US" w:eastAsia="zh-CN" w:bidi="ar-SA"/>
        </w:rPr>
        <w:t>支出决算为80.01万元,完成预算100%,决算数与预算数持平。</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2.社会保障和就业支出(类)行政事业单位养老支出(款)事业单位离退休(项):</w:t>
      </w:r>
      <w:r>
        <w:rPr>
          <w:rFonts w:hint="eastAsia" w:ascii="仿宋" w:hAnsi="仿宋" w:eastAsia="仿宋" w:cs="Times New Roman"/>
          <w:color w:val="auto"/>
          <w:kern w:val="2"/>
          <w:sz w:val="32"/>
          <w:szCs w:val="32"/>
          <w:highlight w:val="none"/>
          <w:lang w:val="en-US" w:eastAsia="zh-CN" w:bidi="ar-SA"/>
        </w:rPr>
        <w:t>支出决算为11.21万元,完成预算100%,决算数与预算数持平。</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3.社会保障和就业支出(类)行政事业单位养老支出(款)机关事业单位基本养老保险缴费支出(项):</w:t>
      </w:r>
      <w:r>
        <w:rPr>
          <w:rFonts w:hint="eastAsia" w:ascii="仿宋" w:hAnsi="仿宋" w:eastAsia="仿宋" w:cs="Times New Roman"/>
          <w:color w:val="auto"/>
          <w:kern w:val="2"/>
          <w:sz w:val="32"/>
          <w:szCs w:val="32"/>
          <w:highlight w:val="none"/>
          <w:lang w:val="en-US" w:eastAsia="zh-CN" w:bidi="ar-SA"/>
        </w:rPr>
        <w:t>支出决算为82.67万元,完成预算100%,决算数与预算数持平。  </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4.社会保障和就业支出(类)行政事业单位养老支出(款)机关事业单位职业年金缴费支出(项):</w:t>
      </w:r>
      <w:r>
        <w:rPr>
          <w:rFonts w:hint="eastAsia" w:ascii="仿宋" w:hAnsi="仿宋" w:eastAsia="仿宋" w:cs="Times New Roman"/>
          <w:color w:val="auto"/>
          <w:kern w:val="2"/>
          <w:sz w:val="32"/>
          <w:szCs w:val="32"/>
          <w:highlight w:val="none"/>
          <w:lang w:val="en-US" w:eastAsia="zh-CN" w:bidi="ar-SA"/>
        </w:rPr>
        <w:t>支出决算为87.76万元,完成预算100%,决算数与预算数持平。</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5.社会保障和就业支出(类)行政事业单位养老支出(款)其他行政事业单位离退休支出(项):</w:t>
      </w:r>
      <w:r>
        <w:rPr>
          <w:rFonts w:hint="eastAsia" w:ascii="仿宋" w:hAnsi="仿宋" w:eastAsia="仿宋" w:cs="Times New Roman"/>
          <w:color w:val="auto"/>
          <w:kern w:val="2"/>
          <w:sz w:val="32"/>
          <w:szCs w:val="32"/>
          <w:highlight w:val="none"/>
          <w:lang w:val="en-US" w:eastAsia="zh-CN" w:bidi="ar-SA"/>
        </w:rPr>
        <w:t>支出决算为7.2万元,完成预算100%,决算数与预算数持平。</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6.社会保障和就业支出(类)抚恤(款)死亡抚恤(项):</w:t>
      </w:r>
      <w:r>
        <w:rPr>
          <w:rFonts w:hint="eastAsia" w:ascii="仿宋" w:hAnsi="仿宋" w:eastAsia="仿宋" w:cs="Times New Roman"/>
          <w:color w:val="auto"/>
          <w:kern w:val="2"/>
          <w:sz w:val="32"/>
          <w:szCs w:val="32"/>
          <w:highlight w:val="none"/>
          <w:lang w:val="en-US" w:eastAsia="zh-CN" w:bidi="ar-SA"/>
        </w:rPr>
        <w:t>支出决算为39.71万元,完成预算100%,决算数与预算数持平。</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7.卫生健康支出(类)行政事业单位医疗(款)行政单位医疗(项):</w:t>
      </w:r>
      <w:r>
        <w:rPr>
          <w:rFonts w:hint="eastAsia" w:ascii="仿宋" w:hAnsi="仿宋" w:eastAsia="仿宋" w:cs="Times New Roman"/>
          <w:color w:val="auto"/>
          <w:kern w:val="2"/>
          <w:sz w:val="32"/>
          <w:szCs w:val="32"/>
          <w:highlight w:val="none"/>
          <w:lang w:val="en-US" w:eastAsia="zh-CN" w:bidi="ar-SA"/>
        </w:rPr>
        <w:t>支出决算为38.26万元,完成预算100%,决算数与预算数持平。</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宋体" w:hAnsi="宋体" w:eastAsia="宋体" w:cs="宋体"/>
          <w:i w:val="0"/>
          <w:caps w:val="0"/>
          <w:color w:val="auto"/>
          <w:spacing w:val="0"/>
          <w:sz w:val="24"/>
          <w:szCs w:val="24"/>
        </w:rPr>
      </w:pPr>
      <w:r>
        <w:rPr>
          <w:rStyle w:val="14"/>
          <w:rFonts w:hint="eastAsia" w:ascii="仿宋" w:hAnsi="仿宋" w:eastAsia="仿宋" w:cs="Times New Roman"/>
          <w:bCs/>
          <w:color w:val="auto"/>
          <w:kern w:val="2"/>
          <w:sz w:val="32"/>
          <w:szCs w:val="32"/>
          <w:highlight w:val="none"/>
          <w:lang w:val="en-US" w:eastAsia="zh-CN" w:bidi="ar-SA"/>
        </w:rPr>
        <w:t>8.卫生健康支出(类)行政事业单位医疗(款)事业单位医疗(项):</w:t>
      </w:r>
      <w:r>
        <w:rPr>
          <w:rFonts w:hint="eastAsia" w:ascii="仿宋" w:hAnsi="仿宋" w:eastAsia="仿宋" w:cs="Times New Roman"/>
          <w:color w:val="auto"/>
          <w:kern w:val="2"/>
          <w:sz w:val="32"/>
          <w:szCs w:val="32"/>
          <w:highlight w:val="none"/>
          <w:lang w:val="en-US" w:eastAsia="zh-CN" w:bidi="ar-SA"/>
        </w:rPr>
        <w:t>支出决算为35.64万元,完成预算100%,决算数与预算数持平。</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9.卫生健康支出(类)行政事业单位医疗(款)公务员医疗补助(项):</w:t>
      </w:r>
      <w:r>
        <w:rPr>
          <w:rFonts w:hint="eastAsia" w:ascii="仿宋" w:hAnsi="仿宋" w:eastAsia="仿宋" w:cs="Times New Roman"/>
          <w:color w:val="auto"/>
          <w:kern w:val="2"/>
          <w:sz w:val="32"/>
          <w:szCs w:val="32"/>
          <w:highlight w:val="none"/>
          <w:lang w:val="en-US" w:eastAsia="zh-CN" w:bidi="ar-SA"/>
        </w:rPr>
        <w:t>支出决算为12.91万元,完成预算100%,决算数与预算数持平。</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10.农林水支出(类)农业农村（款）行政运行（项）：</w:t>
      </w:r>
      <w:r>
        <w:rPr>
          <w:rFonts w:hint="eastAsia" w:ascii="仿宋" w:hAnsi="仿宋" w:eastAsia="仿宋" w:cs="Times New Roman"/>
          <w:color w:val="auto"/>
          <w:kern w:val="2"/>
          <w:sz w:val="32"/>
          <w:szCs w:val="32"/>
          <w:highlight w:val="none"/>
          <w:lang w:val="en-US" w:eastAsia="zh-CN" w:bidi="ar-SA"/>
        </w:rPr>
        <w:t>支出决算为41.86万元，完成预算100%,决算数与预算数持平。</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11.农林水支出(类)水利(款)行政运行(项):</w:t>
      </w:r>
      <w:r>
        <w:rPr>
          <w:rFonts w:hint="eastAsia" w:ascii="仿宋" w:hAnsi="仿宋" w:eastAsia="仿宋" w:cs="Times New Roman"/>
          <w:color w:val="auto"/>
          <w:kern w:val="2"/>
          <w:sz w:val="32"/>
          <w:szCs w:val="32"/>
          <w:highlight w:val="none"/>
          <w:lang w:val="en-US" w:eastAsia="zh-CN" w:bidi="ar-SA"/>
        </w:rPr>
        <w:t>支出决算为471.36万元,完成预算100%,决算数与预算数持平。</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12.农林水支出(类)水利(款)一般行政管理事务(项):</w:t>
      </w:r>
      <w:r>
        <w:rPr>
          <w:rFonts w:hint="eastAsia" w:ascii="仿宋" w:hAnsi="仿宋" w:eastAsia="仿宋" w:cs="Times New Roman"/>
          <w:color w:val="auto"/>
          <w:kern w:val="2"/>
          <w:sz w:val="32"/>
          <w:szCs w:val="32"/>
          <w:highlight w:val="none"/>
          <w:lang w:val="en-US" w:eastAsia="zh-CN" w:bidi="ar-SA"/>
        </w:rPr>
        <w:t>支出决算为24.49万元,完成预算81.63%,决算数小于预算数，资金跨年执行,结转至下一年度。</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13.农林水支出(类)水利(款)水利工程建设(项):</w:t>
      </w:r>
      <w:r>
        <w:rPr>
          <w:rFonts w:hint="eastAsia" w:ascii="仿宋" w:hAnsi="仿宋" w:eastAsia="仿宋" w:cs="Times New Roman"/>
          <w:color w:val="auto"/>
          <w:kern w:val="2"/>
          <w:sz w:val="32"/>
          <w:szCs w:val="32"/>
          <w:highlight w:val="none"/>
          <w:lang w:val="en-US" w:eastAsia="zh-CN" w:bidi="ar-SA"/>
        </w:rPr>
        <w:t>支出决算为142.45万元,完成预算29.13%,决算数小于预算数的主要原因是资金跨年执行,结转至下一年度。</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14.农林水支出(类)水利(款)水利工程运行与维护(项):</w:t>
      </w:r>
      <w:r>
        <w:rPr>
          <w:rFonts w:hint="eastAsia" w:ascii="仿宋" w:hAnsi="仿宋" w:eastAsia="仿宋" w:cs="Times New Roman"/>
          <w:color w:val="auto"/>
          <w:kern w:val="2"/>
          <w:sz w:val="32"/>
          <w:szCs w:val="32"/>
          <w:highlight w:val="none"/>
          <w:lang w:val="en-US" w:eastAsia="zh-CN" w:bidi="ar-SA"/>
        </w:rPr>
        <w:t>支出决算为45.61万元,完成预算50.92%,决算数小于预算数的主要原因是资金跨年执行,结转至下一年度。</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15.农林水支出(类)水利(款)水利执法监督(项):</w:t>
      </w:r>
      <w:r>
        <w:rPr>
          <w:rFonts w:hint="eastAsia" w:ascii="仿宋" w:hAnsi="仿宋" w:eastAsia="仿宋" w:cs="Times New Roman"/>
          <w:color w:val="auto"/>
          <w:kern w:val="2"/>
          <w:sz w:val="32"/>
          <w:szCs w:val="32"/>
          <w:highlight w:val="none"/>
          <w:lang w:val="en-US" w:eastAsia="zh-CN" w:bidi="ar-SA"/>
        </w:rPr>
        <w:t>支出决算为17.50万元,完成预算43.75%,决算数小于预算数的主要原因是资金跨年执行,结转至以后年度。</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宋体" w:hAnsi="宋体" w:eastAsia="宋体" w:cs="宋体"/>
          <w:i w:val="0"/>
          <w:caps w:val="0"/>
          <w:color w:val="auto"/>
          <w:spacing w:val="0"/>
          <w:sz w:val="24"/>
          <w:szCs w:val="24"/>
          <w:shd w:val="clear" w:fill="FFFFFF"/>
        </w:rPr>
      </w:pPr>
      <w:r>
        <w:rPr>
          <w:rStyle w:val="14"/>
          <w:rFonts w:hint="eastAsia" w:ascii="仿宋" w:hAnsi="仿宋" w:eastAsia="仿宋" w:cs="Times New Roman"/>
          <w:bCs/>
          <w:color w:val="auto"/>
          <w:kern w:val="2"/>
          <w:sz w:val="32"/>
          <w:szCs w:val="32"/>
          <w:highlight w:val="none"/>
          <w:lang w:val="en-US" w:eastAsia="zh-CN" w:bidi="ar-SA"/>
        </w:rPr>
        <w:t>16.农林水支出(类)水利(款)水土保持(项):</w:t>
      </w:r>
      <w:r>
        <w:rPr>
          <w:rFonts w:hint="eastAsia" w:ascii="仿宋" w:hAnsi="仿宋" w:eastAsia="仿宋" w:cs="Times New Roman"/>
          <w:color w:val="auto"/>
          <w:kern w:val="2"/>
          <w:sz w:val="32"/>
          <w:szCs w:val="32"/>
          <w:highlight w:val="none"/>
          <w:lang w:val="en-US" w:eastAsia="zh-CN" w:bidi="ar-SA"/>
        </w:rPr>
        <w:t>支出决算为238.48万元,完成预算100%,决算数与预算数持平</w:t>
      </w:r>
      <w:r>
        <w:rPr>
          <w:rFonts w:hint="eastAsia" w:ascii="宋体" w:hAnsi="宋体" w:eastAsia="宋体" w:cs="宋体"/>
          <w:i w:val="0"/>
          <w:caps w:val="0"/>
          <w:color w:val="auto"/>
          <w:spacing w:val="0"/>
          <w:sz w:val="24"/>
          <w:szCs w:val="24"/>
          <w:shd w:val="clear" w:fill="FFFFFF"/>
        </w:rPr>
        <w:t>。</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17.农林水支出(类)水利(款)水资源节约管理与保护(项):</w:t>
      </w:r>
      <w:r>
        <w:rPr>
          <w:rFonts w:hint="eastAsia" w:ascii="仿宋" w:hAnsi="仿宋" w:eastAsia="仿宋" w:cs="Times New Roman"/>
          <w:color w:val="auto"/>
          <w:kern w:val="2"/>
          <w:sz w:val="32"/>
          <w:szCs w:val="32"/>
          <w:highlight w:val="none"/>
          <w:lang w:val="en-US" w:eastAsia="zh-CN" w:bidi="ar-SA"/>
        </w:rPr>
        <w:t>支出决算为39.82万元,完成预算47.79%,决算数小于预算数的主要原因是资金跨年执行,结转至以后年度。</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18.农林水支出(类)水利(款)水质监测(项):</w:t>
      </w:r>
      <w:r>
        <w:rPr>
          <w:rFonts w:hint="eastAsia" w:ascii="仿宋" w:hAnsi="仿宋" w:eastAsia="仿宋" w:cs="Times New Roman"/>
          <w:color w:val="auto"/>
          <w:kern w:val="2"/>
          <w:sz w:val="32"/>
          <w:szCs w:val="32"/>
          <w:highlight w:val="none"/>
          <w:lang w:val="en-US" w:eastAsia="zh-CN" w:bidi="ar-SA"/>
        </w:rPr>
        <w:t>支出决算为661.55万元,完成预算94.59%,决算数小于预算数的主要原因是资金跨年执行,结转至下一年度。</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19.农林水支出(类)水利(款)防汛(项):</w:t>
      </w:r>
      <w:r>
        <w:rPr>
          <w:rFonts w:hint="eastAsia" w:ascii="仿宋" w:hAnsi="仿宋" w:eastAsia="仿宋" w:cs="Times New Roman"/>
          <w:color w:val="auto"/>
          <w:kern w:val="2"/>
          <w:sz w:val="32"/>
          <w:szCs w:val="32"/>
          <w:highlight w:val="none"/>
          <w:lang w:val="en-US" w:eastAsia="zh-CN" w:bidi="ar-SA"/>
        </w:rPr>
        <w:t>支出决算724.68万元,完成预算100%,决算数与预算数持平。</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20.农林水支出(类)水利(款)水利安全监督(项):</w:t>
      </w:r>
      <w:r>
        <w:rPr>
          <w:rFonts w:hint="eastAsia" w:ascii="仿宋" w:hAnsi="仿宋" w:eastAsia="仿宋" w:cs="Times New Roman"/>
          <w:color w:val="auto"/>
          <w:kern w:val="2"/>
          <w:sz w:val="32"/>
          <w:szCs w:val="32"/>
          <w:highlight w:val="none"/>
          <w:lang w:val="en-US" w:eastAsia="zh-CN" w:bidi="ar-SA"/>
        </w:rPr>
        <w:t>支出决算为5万元,完成预算100%,决算数与预算数持平。</w:t>
      </w:r>
    </w:p>
    <w:p>
      <w:pPr>
        <w:pStyle w:val="12"/>
        <w:keepNext w:val="0"/>
        <w:keepLines w:val="0"/>
        <w:widowControl/>
        <w:suppressLineNumbers w:val="0"/>
        <w:shd w:val="clear" w:fill="FFFFFF"/>
        <w:spacing w:before="210" w:beforeAutospacing="0" w:after="210" w:afterAutospacing="0" w:line="450" w:lineRule="atLeast"/>
        <w:ind w:left="0" w:right="0" w:firstLine="420"/>
        <w:jc w:val="left"/>
        <w:rPr>
          <w:rFonts w:hint="eastAsia" w:ascii="仿宋" w:hAnsi="仿宋" w:eastAsia="仿宋" w:cs="Times New Roman"/>
          <w:color w:val="auto"/>
          <w:kern w:val="2"/>
          <w:sz w:val="32"/>
          <w:szCs w:val="32"/>
          <w:highlight w:val="none"/>
          <w:lang w:val="en-US" w:eastAsia="zh-CN" w:bidi="ar-SA"/>
        </w:rPr>
      </w:pPr>
      <w:r>
        <w:rPr>
          <w:rStyle w:val="14"/>
          <w:rFonts w:hint="eastAsia" w:ascii="仿宋" w:hAnsi="仿宋" w:eastAsia="仿宋" w:cs="Times New Roman"/>
          <w:bCs/>
          <w:color w:val="auto"/>
          <w:kern w:val="2"/>
          <w:sz w:val="32"/>
          <w:szCs w:val="32"/>
          <w:highlight w:val="none"/>
          <w:lang w:val="en-US" w:eastAsia="zh-CN" w:bidi="ar-SA"/>
        </w:rPr>
        <w:t>21.农林水支出(类)水利(款)其他水利支出(项):</w:t>
      </w:r>
      <w:r>
        <w:rPr>
          <w:rFonts w:hint="eastAsia" w:ascii="仿宋" w:hAnsi="仿宋" w:eastAsia="仿宋" w:cs="Times New Roman"/>
          <w:color w:val="auto"/>
          <w:kern w:val="2"/>
          <w:sz w:val="32"/>
          <w:szCs w:val="32"/>
          <w:highlight w:val="none"/>
          <w:lang w:val="en-US" w:eastAsia="zh-CN" w:bidi="ar-SA"/>
        </w:rPr>
        <w:t>支出决算为459.01万元,完成预算97.40%,决算数小于预算数的主要原因是资金跨年执行,结转至下一年度。</w:t>
      </w:r>
    </w:p>
    <w:p>
      <w:pPr>
        <w:pStyle w:val="12"/>
        <w:keepNext w:val="0"/>
        <w:keepLines w:val="0"/>
        <w:widowControl/>
        <w:numPr>
          <w:ilvl w:val="0"/>
          <w:numId w:val="0"/>
        </w:numPr>
        <w:suppressLineNumbers w:val="0"/>
        <w:shd w:val="clear" w:fill="FFFFFF"/>
        <w:spacing w:before="210" w:beforeAutospacing="0" w:after="210" w:afterAutospacing="0" w:line="450" w:lineRule="atLeast"/>
        <w:ind w:right="0" w:rightChars="0" w:firstLine="643" w:firstLineChars="200"/>
        <w:jc w:val="left"/>
        <w:rPr>
          <w:rFonts w:hint="eastAsia" w:ascii="宋体" w:hAnsi="宋体" w:eastAsia="宋体" w:cs="宋体"/>
          <w:i w:val="0"/>
          <w:caps w:val="0"/>
          <w:color w:val="auto"/>
          <w:spacing w:val="0"/>
          <w:sz w:val="24"/>
          <w:szCs w:val="24"/>
          <w:shd w:val="clear" w:fill="FFFFFF"/>
        </w:rPr>
      </w:pPr>
      <w:r>
        <w:rPr>
          <w:rStyle w:val="14"/>
          <w:rFonts w:hint="eastAsia" w:ascii="仿宋" w:hAnsi="仿宋" w:eastAsia="仿宋" w:cs="Times New Roman"/>
          <w:bCs/>
          <w:color w:val="auto"/>
          <w:kern w:val="2"/>
          <w:sz w:val="32"/>
          <w:szCs w:val="32"/>
          <w:highlight w:val="none"/>
          <w:lang w:val="en-US" w:eastAsia="zh-CN" w:bidi="ar-SA"/>
        </w:rPr>
        <w:t>22.住房保障支出(类)住房改革支出(款)住房公积金(项):</w:t>
      </w:r>
      <w:r>
        <w:rPr>
          <w:rFonts w:hint="eastAsia" w:ascii="仿宋" w:hAnsi="仿宋" w:eastAsia="仿宋" w:cs="Times New Roman"/>
          <w:color w:val="auto"/>
          <w:kern w:val="2"/>
          <w:sz w:val="32"/>
          <w:szCs w:val="32"/>
          <w:highlight w:val="none"/>
          <w:lang w:val="en-US" w:eastAsia="zh-CN" w:bidi="ar-SA"/>
        </w:rPr>
        <w:t>支出决算为93.35万元,完成预算100%,决算数与预算数持平。</w:t>
      </w:r>
    </w:p>
    <w:p>
      <w:pPr>
        <w:pStyle w:val="12"/>
        <w:keepNext w:val="0"/>
        <w:keepLines w:val="0"/>
        <w:widowControl/>
        <w:numPr>
          <w:ilvl w:val="0"/>
          <w:numId w:val="0"/>
        </w:numPr>
        <w:suppressLineNumbers w:val="0"/>
        <w:shd w:val="clear" w:fill="FFFFFF"/>
        <w:spacing w:before="210" w:beforeAutospacing="0" w:after="210" w:afterAutospacing="0" w:line="450" w:lineRule="atLeast"/>
        <w:ind w:right="0" w:rightChars="0" w:firstLine="643" w:firstLineChars="200"/>
        <w:jc w:val="left"/>
        <w:rPr>
          <w:color w:val="auto"/>
        </w:rPr>
      </w:pPr>
      <w:r>
        <w:rPr>
          <w:rStyle w:val="14"/>
          <w:rFonts w:hint="eastAsia" w:ascii="仿宋" w:hAnsi="仿宋" w:eastAsia="仿宋" w:cs="Times New Roman"/>
          <w:bCs/>
          <w:color w:val="auto"/>
          <w:kern w:val="2"/>
          <w:sz w:val="32"/>
          <w:szCs w:val="32"/>
          <w:highlight w:val="none"/>
          <w:lang w:val="en-US" w:eastAsia="zh-CN" w:bidi="ar-SA"/>
        </w:rPr>
        <w:t>23.其他支出（类）其他支出（款）其他支出（项）：</w:t>
      </w:r>
      <w:r>
        <w:rPr>
          <w:rFonts w:hint="eastAsia" w:ascii="仿宋" w:hAnsi="仿宋" w:eastAsia="仿宋" w:cs="Times New Roman"/>
          <w:color w:val="auto"/>
          <w:kern w:val="2"/>
          <w:sz w:val="32"/>
          <w:szCs w:val="32"/>
          <w:highlight w:val="none"/>
          <w:lang w:val="en-US" w:eastAsia="zh-CN" w:bidi="ar-SA"/>
        </w:rPr>
        <w:t>支出决算为500万元,完成预算100%,决算数与预算数持平。</w:t>
      </w:r>
    </w:p>
    <w:p>
      <w:pPr>
        <w:tabs>
          <w:tab w:val="right" w:pos="8306"/>
        </w:tabs>
        <w:spacing w:line="600" w:lineRule="exact"/>
        <w:ind w:firstLine="640"/>
        <w:outlineLvl w:val="1"/>
        <w:rPr>
          <w:rStyle w:val="27"/>
          <w:color w:val="auto"/>
          <w:highlight w:val="none"/>
        </w:rPr>
      </w:pPr>
      <w:bookmarkStart w:id="84" w:name="_Toc15377214"/>
      <w:bookmarkStart w:id="85" w:name="_Toc15396608"/>
      <w:bookmarkStart w:id="86" w:name="_Toc19518_WPSOffice_Level2"/>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84"/>
      <w:bookmarkEnd w:id="85"/>
      <w:bookmarkEnd w:id="86"/>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3860.54</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1224.39</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2636.15</w:t>
      </w:r>
      <w:r>
        <w:rPr>
          <w:rFonts w:hint="eastAsia" w:ascii="仿宋" w:hAnsi="仿宋" w:eastAsia="仿宋"/>
          <w:color w:val="auto"/>
          <w:sz w:val="32"/>
          <w:szCs w:val="32"/>
          <w:highlight w:val="none"/>
        </w:rPr>
        <w:t>万元，主要包括：办公费、印刷费、咨询费、手续费、水费、电费、邮电费、取暖费、物业管理费、差旅费、维修（护）费、租赁费、会议费、培训费、公务接待费、劳务费、委托业务费、工会经费、福利费、公务用车运行维护费、其他交通费、税金及附加费用、其他商品和服务支出、其他资本性支出等。</w:t>
      </w:r>
    </w:p>
    <w:p>
      <w:pPr>
        <w:spacing w:line="600" w:lineRule="exact"/>
        <w:ind w:firstLine="640"/>
        <w:outlineLvl w:val="1"/>
        <w:rPr>
          <w:rStyle w:val="27"/>
          <w:rFonts w:ascii="黑体" w:hAnsi="黑体" w:eastAsia="黑体"/>
          <w:b w:val="0"/>
          <w:color w:val="auto"/>
          <w:highlight w:val="none"/>
        </w:rPr>
      </w:pPr>
      <w:bookmarkStart w:id="87" w:name="_Toc8662_WPSOffice_Level2"/>
      <w:bookmarkStart w:id="88" w:name="_Toc15377215"/>
      <w:bookmarkStart w:id="89" w:name="_Toc15396609"/>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87"/>
      <w:bookmarkEnd w:id="88"/>
      <w:bookmarkEnd w:id="89"/>
    </w:p>
    <w:p>
      <w:pPr>
        <w:spacing w:line="600" w:lineRule="exact"/>
        <w:ind w:firstLine="640"/>
        <w:outlineLvl w:val="2"/>
        <w:rPr>
          <w:rFonts w:ascii="仿宋" w:hAnsi="仿宋" w:eastAsia="仿宋"/>
          <w:b/>
          <w:color w:val="auto"/>
          <w:sz w:val="32"/>
          <w:szCs w:val="32"/>
          <w:highlight w:val="none"/>
        </w:rPr>
      </w:pPr>
      <w:bookmarkStart w:id="90" w:name="_Toc3091_WPSOffice_Level3"/>
      <w:bookmarkStart w:id="91" w:name="_Toc23930_WPSOffice_Level3"/>
      <w:bookmarkStart w:id="92" w:name="_Toc21602_WPSOffice_Level3"/>
      <w:bookmarkStart w:id="93" w:name="_Toc15377216"/>
      <w:r>
        <w:rPr>
          <w:rFonts w:hint="eastAsia" w:ascii="仿宋" w:hAnsi="仿宋" w:eastAsia="仿宋"/>
          <w:b/>
          <w:color w:val="auto"/>
          <w:sz w:val="32"/>
          <w:szCs w:val="32"/>
          <w:highlight w:val="none"/>
        </w:rPr>
        <w:t>（一）“三公”经费财政拨款支出决算总体情况说明</w:t>
      </w:r>
      <w:bookmarkEnd w:id="90"/>
      <w:bookmarkEnd w:id="91"/>
      <w:bookmarkEnd w:id="92"/>
      <w:bookmarkEnd w:id="9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年“三公”经费财政拨款支出决算为47.10万元，完成预算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w:t>
      </w:r>
      <w:r>
        <w:rPr>
          <w:rFonts w:hint="eastAsia" w:ascii="仿宋" w:hAnsi="仿宋" w:eastAsia="仿宋"/>
          <w:strike w:val="0"/>
          <w:dstrike w:val="0"/>
          <w:color w:val="auto"/>
          <w:sz w:val="32"/>
          <w:szCs w:val="32"/>
          <w:highlight w:val="none"/>
        </w:rPr>
        <w:t>的主要原因是</w:t>
      </w:r>
      <w:r>
        <w:rPr>
          <w:rFonts w:hint="eastAsia" w:ascii="仿宋" w:hAnsi="仿宋" w:eastAsia="仿宋"/>
          <w:strike w:val="0"/>
          <w:dstrike w:val="0"/>
          <w:color w:val="auto"/>
          <w:sz w:val="32"/>
          <w:szCs w:val="32"/>
          <w:highlight w:val="none"/>
          <w:lang w:eastAsia="zh-CN"/>
        </w:rPr>
        <w:t>三公开支在预算范围内的合理开支。</w:t>
      </w:r>
    </w:p>
    <w:p>
      <w:pPr>
        <w:spacing w:line="600" w:lineRule="exact"/>
        <w:ind w:firstLine="643" w:firstLineChars="200"/>
        <w:outlineLvl w:val="2"/>
        <w:rPr>
          <w:rFonts w:ascii="仿宋" w:hAnsi="仿宋" w:eastAsia="仿宋"/>
          <w:b/>
          <w:color w:val="auto"/>
          <w:sz w:val="32"/>
          <w:szCs w:val="32"/>
          <w:highlight w:val="none"/>
        </w:rPr>
      </w:pPr>
      <w:bookmarkStart w:id="94" w:name="_Toc29192_WPSOffice_Level3"/>
      <w:bookmarkStart w:id="95" w:name="_Toc15377217"/>
      <w:bookmarkStart w:id="96" w:name="_Toc18119_WPSOffice_Level3"/>
      <w:bookmarkStart w:id="97" w:name="_Toc19518_WPSOffice_Level3"/>
      <w:r>
        <w:rPr>
          <w:rFonts w:hint="eastAsia" w:ascii="仿宋" w:hAnsi="仿宋" w:eastAsia="仿宋"/>
          <w:b/>
          <w:color w:val="auto"/>
          <w:sz w:val="32"/>
          <w:szCs w:val="32"/>
          <w:highlight w:val="none"/>
        </w:rPr>
        <w:t>（二）“三公”经费财政拨款支出决算具体情况说明</w:t>
      </w:r>
      <w:bookmarkEnd w:id="94"/>
      <w:bookmarkEnd w:id="95"/>
      <w:bookmarkEnd w:id="96"/>
      <w:bookmarkEnd w:id="97"/>
    </w:p>
    <w:p>
      <w:pPr>
        <w:rPr>
          <w:rFonts w:hint="eastAsia" w:ascii="仿宋" w:hAnsi="仿宋" w:eastAsia="仿宋"/>
          <w:color w:val="FF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44.95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95.44</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2.15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4.56</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17"/>
        <w:rPr>
          <w:rFonts w:hint="eastAsia" w:ascii="仿宋" w:hAnsi="仿宋" w:eastAsia="仿宋"/>
          <w:color w:val="FF0000"/>
          <w:sz w:val="32"/>
          <w:szCs w:val="32"/>
        </w:rPr>
      </w:pPr>
    </w:p>
    <w:p>
      <w:pPr>
        <w:jc w:val="center"/>
        <w:rPr>
          <w:rFonts w:hint="eastAsia" w:ascii="仿宋" w:hAnsi="仿宋" w:eastAsia="仿宋"/>
          <w:color w:val="FF0000"/>
          <w:sz w:val="32"/>
          <w:szCs w:val="32"/>
        </w:rPr>
      </w:pPr>
      <w:r>
        <w:drawing>
          <wp:inline distT="0" distB="0" distL="114300" distR="114300">
            <wp:extent cx="4161790" cy="2128520"/>
            <wp:effectExtent l="4445" t="4445" r="5715" b="1968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rPr>
          <w:rFonts w:ascii="仿宋" w:hAnsi="仿宋" w:eastAsia="仿宋"/>
          <w:color w:val="auto"/>
          <w:sz w:val="32"/>
          <w:szCs w:val="32"/>
          <w:highlight w:val="none"/>
        </w:rPr>
      </w:pP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w:t>
      </w:r>
      <w:r>
        <w:rPr>
          <w:rFonts w:hint="eastAsia" w:ascii="仿宋_GB2312" w:eastAsia="仿宋_GB2312"/>
          <w:color w:val="auto"/>
          <w:sz w:val="32"/>
          <w:szCs w:val="32"/>
          <w:highlight w:val="none"/>
          <w:lang w:eastAsia="zh-CN"/>
        </w:rPr>
        <w:t>是不涉及因公出国（境）情况</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开支内容包括：</w:t>
      </w:r>
      <w:r>
        <w:rPr>
          <w:rFonts w:hint="eastAsia" w:ascii="仿宋_GB2312" w:eastAsia="仿宋_GB2312"/>
          <w:color w:val="auto"/>
          <w:sz w:val="32"/>
          <w:szCs w:val="32"/>
          <w:lang w:val="en-US" w:eastAsia="zh-CN"/>
        </w:rPr>
        <w:t>本单位本年度无因公出国境事项，未产生因公出国境经费支出</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44.95</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32.54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262.20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增加公务用车购置及由于职能划转和人员增加导致公务用车运维支出增加</w:t>
      </w:r>
      <w:r>
        <w:rPr>
          <w:rFonts w:hint="eastAsia" w:ascii="仿宋_GB2312" w:eastAsia="仿宋_GB2312"/>
          <w:color w:val="auto"/>
          <w:sz w:val="32"/>
          <w:szCs w:val="32"/>
          <w:highlight w:val="none"/>
        </w:rPr>
        <w:t>。</w:t>
      </w:r>
    </w:p>
    <w:p>
      <w:pPr>
        <w:spacing w:line="600" w:lineRule="exact"/>
        <w:ind w:firstLine="64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17.58</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17.58</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元，主要用于</w:t>
      </w:r>
      <w:r>
        <w:rPr>
          <w:rFonts w:hint="eastAsia" w:ascii="仿宋_GB2312" w:eastAsia="仿宋_GB2312"/>
          <w:color w:val="auto"/>
          <w:sz w:val="32"/>
          <w:szCs w:val="32"/>
          <w:highlight w:val="none"/>
          <w:lang w:eastAsia="zh-CN"/>
        </w:rPr>
        <w:t>一般公务用车运行</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 xml:space="preserve"> </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27.37</w:t>
      </w:r>
      <w:r>
        <w:rPr>
          <w:rFonts w:hint="eastAsia" w:ascii="仿宋_GB2312" w:eastAsia="仿宋_GB2312"/>
          <w:color w:val="auto"/>
          <w:sz w:val="32"/>
          <w:szCs w:val="32"/>
          <w:highlight w:val="none"/>
        </w:rPr>
        <w:t>万元。主要用于全市水利工作及水利项目的检查指导,防汛抗旱、河长制工作、水土保持、水资源保护、水政监察和水行政执法、水利工程工地踏勘</w:t>
      </w:r>
      <w:r>
        <w:rPr>
          <w:rFonts w:hint="eastAsia" w:ascii="仿宋_GB2312" w:eastAsia="仿宋_GB2312"/>
          <w:color w:val="auto"/>
          <w:sz w:val="32"/>
          <w:szCs w:val="32"/>
          <w:highlight w:val="none"/>
          <w:lang w:eastAsia="zh-CN"/>
        </w:rPr>
        <w:t>、移民工作</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2.15</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公务接待次数及人次与</w:t>
      </w:r>
      <w:r>
        <w:rPr>
          <w:rFonts w:hint="eastAsia" w:ascii="仿宋_GB2312" w:eastAsia="仿宋_GB2312"/>
          <w:color w:val="auto"/>
          <w:sz w:val="32"/>
          <w:szCs w:val="32"/>
          <w:highlight w:val="none"/>
          <w:lang w:val="en-US" w:eastAsia="zh-CN"/>
        </w:rPr>
        <w:t>2020年基本一致</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2.15</w:t>
      </w:r>
      <w:r>
        <w:rPr>
          <w:rFonts w:hint="eastAsia" w:ascii="仿宋_GB2312" w:eastAsia="仿宋_GB2312"/>
          <w:color w:val="auto"/>
          <w:sz w:val="32"/>
          <w:szCs w:val="32"/>
          <w:highlight w:val="none"/>
        </w:rPr>
        <w:t>万元，主要用于主要用于我局执行公务、开展业务活动开支的交通费、住宿费、用餐费等。国内公务接待</w:t>
      </w:r>
      <w:r>
        <w:rPr>
          <w:rFonts w:hint="eastAsia" w:ascii="仿宋_GB2312" w:eastAsia="仿宋_GB2312"/>
          <w:color w:val="auto"/>
          <w:sz w:val="32"/>
          <w:szCs w:val="32"/>
          <w:highlight w:val="none"/>
          <w:lang w:val="en-US" w:eastAsia="zh-CN"/>
        </w:rPr>
        <w:t>25</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172</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2.15</w:t>
      </w:r>
      <w:r>
        <w:rPr>
          <w:rFonts w:hint="eastAsia" w:ascii="仿宋_GB2312" w:eastAsia="仿宋_GB2312"/>
          <w:color w:val="auto"/>
          <w:sz w:val="32"/>
          <w:szCs w:val="32"/>
          <w:highlight w:val="none"/>
        </w:rPr>
        <w:t>万元，具体内容包括：接待上级有关部门来雅考察调研、督查督办</w:t>
      </w:r>
      <w:r>
        <w:rPr>
          <w:rFonts w:hint="eastAsia" w:ascii="仿宋_GB2312" w:eastAsia="仿宋_GB2312"/>
          <w:color w:val="auto"/>
          <w:sz w:val="32"/>
          <w:szCs w:val="32"/>
          <w:highlight w:val="none"/>
          <w:lang w:eastAsia="zh-CN"/>
        </w:rPr>
        <w:t>、双随机检查等</w:t>
      </w:r>
      <w:r>
        <w:rPr>
          <w:rFonts w:hint="eastAsia" w:ascii="仿宋_GB2312" w:eastAsia="仿宋_GB2312"/>
          <w:color w:val="auto"/>
          <w:sz w:val="32"/>
          <w:szCs w:val="32"/>
          <w:highlight w:val="none"/>
        </w:rPr>
        <w:t>工作</w:t>
      </w:r>
      <w:r>
        <w:rPr>
          <w:rFonts w:hint="eastAsia" w:ascii="仿宋_GB2312" w:eastAsia="仿宋_GB2312"/>
          <w:color w:val="auto"/>
          <w:sz w:val="32"/>
          <w:szCs w:val="32"/>
          <w:highlight w:val="none"/>
          <w:lang w:eastAsia="zh-CN"/>
        </w:rPr>
        <w:t>有关的</w:t>
      </w:r>
      <w:r>
        <w:rPr>
          <w:rFonts w:hint="eastAsia" w:ascii="仿宋_GB2312" w:eastAsia="仿宋_GB2312"/>
          <w:color w:val="auto"/>
          <w:sz w:val="32"/>
          <w:szCs w:val="32"/>
          <w:highlight w:val="none"/>
        </w:rPr>
        <w:t>公务接待餐费</w:t>
      </w:r>
      <w:r>
        <w:rPr>
          <w:rFonts w:hint="eastAsia" w:ascii="仿宋_GB2312" w:eastAsia="仿宋_GB2312"/>
          <w:color w:val="auto"/>
          <w:sz w:val="32"/>
          <w:szCs w:val="32"/>
          <w:highlight w:val="none"/>
          <w:lang w:val="en-US" w:eastAsia="zh-CN"/>
        </w:rPr>
        <w:t>2.15万元。</w:t>
      </w:r>
    </w:p>
    <w:p>
      <w:pPr>
        <w:spacing w:line="600" w:lineRule="exact"/>
        <w:ind w:firstLine="64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rPr>
        <w:t>本年度本</w:t>
      </w:r>
      <w:r>
        <w:rPr>
          <w:rFonts w:hint="eastAsia" w:ascii="仿宋" w:hAnsi="仿宋" w:eastAsia="仿宋"/>
          <w:color w:val="auto"/>
          <w:sz w:val="32"/>
          <w:szCs w:val="32"/>
          <w:lang w:val="en-US" w:eastAsia="zh-CN"/>
        </w:rPr>
        <w:t>单位</w:t>
      </w:r>
      <w:r>
        <w:rPr>
          <w:rFonts w:hint="eastAsia" w:ascii="仿宋" w:hAnsi="仿宋" w:eastAsia="仿宋"/>
          <w:color w:val="auto"/>
          <w:sz w:val="32"/>
          <w:szCs w:val="32"/>
        </w:rPr>
        <w:t>无外事接待事项</w:t>
      </w:r>
      <w:r>
        <w:rPr>
          <w:rFonts w:hint="eastAsia" w:ascii="仿宋" w:hAnsi="仿宋" w:eastAsia="仿宋"/>
          <w:color w:val="auto"/>
          <w:sz w:val="32"/>
          <w:szCs w:val="32"/>
          <w:lang w:eastAsia="zh-CN"/>
        </w:rPr>
        <w:t>。</w:t>
      </w:r>
      <w:bookmarkStart w:id="98" w:name="_Toc15377218"/>
      <w:bookmarkStart w:id="99" w:name="_Toc15396610"/>
    </w:p>
    <w:p>
      <w:pPr>
        <w:spacing w:line="600" w:lineRule="exact"/>
        <w:ind w:firstLine="640"/>
        <w:outlineLvl w:val="1"/>
        <w:rPr>
          <w:rStyle w:val="27"/>
          <w:rFonts w:ascii="黑体" w:hAnsi="黑体" w:eastAsia="黑体"/>
          <w:color w:val="auto"/>
          <w:highlight w:val="none"/>
        </w:rPr>
      </w:pPr>
      <w:bookmarkStart w:id="100" w:name="_Toc3923_WPSOffice_Level2"/>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98"/>
      <w:bookmarkEnd w:id="99"/>
      <w:bookmarkEnd w:id="100"/>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7"/>
          <w:rFonts w:ascii="黑体" w:hAnsi="黑体" w:eastAsia="黑体"/>
          <w:b w:val="0"/>
          <w:color w:val="auto"/>
          <w:highlight w:val="none"/>
        </w:rPr>
      </w:pPr>
      <w:bookmarkStart w:id="101" w:name="_Toc15377219"/>
      <w:bookmarkStart w:id="102" w:name="_Toc15396611"/>
      <w:bookmarkStart w:id="103" w:name="_Toc16449_WPSOffice_Level2"/>
      <w:r>
        <w:rPr>
          <w:rStyle w:val="27"/>
          <w:rFonts w:hint="eastAsia" w:ascii="黑体" w:hAnsi="黑体" w:eastAsia="黑体"/>
          <w:b w:val="0"/>
          <w:color w:val="auto"/>
          <w:highlight w:val="none"/>
        </w:rPr>
        <w:t>国有资本经营预算支出决算情况说明</w:t>
      </w:r>
      <w:bookmarkEnd w:id="101"/>
      <w:bookmarkEnd w:id="102"/>
      <w:bookmarkEnd w:id="10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7"/>
          <w:rFonts w:hint="eastAsia" w:ascii="黑体" w:hAnsi="黑体" w:eastAsia="黑体"/>
          <w:b w:val="0"/>
          <w:color w:val="auto"/>
          <w:highlight w:val="none"/>
        </w:rPr>
      </w:pPr>
      <w:bookmarkStart w:id="104" w:name="_Toc15377221"/>
      <w:bookmarkStart w:id="105" w:name="_Toc15396612"/>
      <w:bookmarkStart w:id="106" w:name="_Toc13494_WPSOffice_Level2"/>
      <w:r>
        <w:rPr>
          <w:rStyle w:val="27"/>
          <w:rFonts w:hint="eastAsia" w:ascii="黑体" w:hAnsi="黑体" w:eastAsia="黑体"/>
          <w:b w:val="0"/>
          <w:color w:val="auto"/>
          <w:highlight w:val="none"/>
        </w:rPr>
        <w:t>其他重要事项的情况说明</w:t>
      </w:r>
      <w:bookmarkEnd w:id="104"/>
      <w:bookmarkEnd w:id="105"/>
      <w:bookmarkEnd w:id="106"/>
    </w:p>
    <w:p>
      <w:pPr>
        <w:spacing w:line="600" w:lineRule="exact"/>
        <w:ind w:firstLine="643" w:firstLineChars="200"/>
        <w:outlineLvl w:val="2"/>
        <w:rPr>
          <w:rFonts w:ascii="仿宋" w:hAnsi="仿宋" w:eastAsia="仿宋"/>
          <w:color w:val="auto"/>
          <w:sz w:val="32"/>
          <w:szCs w:val="32"/>
          <w:highlight w:val="none"/>
        </w:rPr>
      </w:pPr>
      <w:bookmarkStart w:id="107" w:name="_Toc13733_WPSOffice_Level3"/>
      <w:bookmarkStart w:id="108" w:name="_Toc15377222"/>
      <w:bookmarkStart w:id="109" w:name="_Toc31126_WPSOffice_Level3"/>
      <w:bookmarkStart w:id="110" w:name="_Toc8662_WPSOffice_Level3"/>
      <w:r>
        <w:rPr>
          <w:rFonts w:hint="eastAsia" w:ascii="仿宋" w:hAnsi="仿宋" w:eastAsia="仿宋"/>
          <w:b/>
          <w:color w:val="auto"/>
          <w:sz w:val="32"/>
          <w:szCs w:val="32"/>
          <w:highlight w:val="none"/>
        </w:rPr>
        <w:t>（一）机关运行经费支出情况</w:t>
      </w:r>
      <w:bookmarkEnd w:id="107"/>
      <w:bookmarkEnd w:id="108"/>
      <w:bookmarkEnd w:id="109"/>
      <w:bookmarkEnd w:id="110"/>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雅安市水利局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281.54</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188.72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40.13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受疫情影响，坚持厉行节约，机关运行支出减少。</w:t>
      </w:r>
      <w:bookmarkStart w:id="111" w:name="_Toc15377223"/>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112" w:name="_Toc25368_WPSOffice_Level3"/>
      <w:bookmarkStart w:id="113" w:name="_Toc5714_WPSOffice_Level3"/>
      <w:bookmarkStart w:id="114" w:name="_Toc3923_WPSOffice_Level3"/>
      <w:r>
        <w:rPr>
          <w:rFonts w:hint="eastAsia" w:ascii="仿宋" w:hAnsi="仿宋" w:eastAsia="仿宋"/>
          <w:b/>
          <w:color w:val="auto"/>
          <w:sz w:val="32"/>
          <w:szCs w:val="32"/>
          <w:highlight w:val="none"/>
        </w:rPr>
        <w:t>（二）政府采购支出情况</w:t>
      </w:r>
      <w:bookmarkEnd w:id="111"/>
      <w:bookmarkEnd w:id="112"/>
      <w:bookmarkEnd w:id="113"/>
      <w:bookmarkEnd w:id="114"/>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雅安市水利局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795.59</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51.05</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744.54</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办公用品购置、水旱灾害普查等工作</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125.35</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15.76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125.35</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15.76</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115" w:name="_Toc11821_WPSOffice_Level3"/>
      <w:bookmarkStart w:id="116" w:name="_Toc15377224"/>
      <w:bookmarkStart w:id="117" w:name="_Toc24755_WPSOffice_Level3"/>
      <w:bookmarkStart w:id="118" w:name="_Toc16449_WPSOffice_Level3"/>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三）国有资产占有使用情况</w:t>
      </w:r>
      <w:bookmarkEnd w:id="115"/>
      <w:bookmarkEnd w:id="116"/>
      <w:bookmarkEnd w:id="117"/>
      <w:bookmarkEnd w:id="11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雅安市水利局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eastAsia="zh-CN"/>
        </w:rPr>
        <w:t>一般公务用车</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numPr>
          <w:ilvl w:val="0"/>
          <w:numId w:val="3"/>
        </w:num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rPr>
      </w:pPr>
      <w:bookmarkStart w:id="119" w:name="_Toc17316_WPSOffice_Level3"/>
      <w:bookmarkStart w:id="120" w:name="_Toc14765_WPSOffice_Level3"/>
      <w:bookmarkStart w:id="121" w:name="_Toc13494_WPSOffice_Level3"/>
      <w:r>
        <w:rPr>
          <w:rFonts w:hint="eastAsia" w:ascii="仿宋" w:hAnsi="仿宋" w:eastAsia="仿宋"/>
          <w:b/>
          <w:color w:val="auto"/>
          <w:sz w:val="32"/>
          <w:szCs w:val="32"/>
          <w:highlight w:val="none"/>
        </w:rPr>
        <w:t>预算绩效管理情况</w:t>
      </w:r>
      <w:bookmarkEnd w:id="119"/>
      <w:bookmarkEnd w:id="120"/>
      <w:bookmarkEnd w:id="121"/>
    </w:p>
    <w:p>
      <w:pPr>
        <w:spacing w:line="58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雅安市</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widowControl/>
        <w:jc w:val="left"/>
        <w:rPr>
          <w:rFonts w:hint="eastAsia" w:ascii="仿宋_GB2312" w:eastAsia="仿宋_GB2312"/>
          <w:b/>
          <w:color w:val="FF0000"/>
          <w:sz w:val="32"/>
          <w:szCs w:val="32"/>
          <w:highlight w:val="none"/>
          <w:lang w:eastAsia="zh-CN"/>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122" w:name="_Toc15377225"/>
      <w:bookmarkStart w:id="123" w:name="_Toc15396613"/>
      <w:bookmarkStart w:id="124" w:name="_Toc13202_WPSOffice_Level1"/>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122"/>
      <w:bookmarkEnd w:id="123"/>
      <w:bookmarkEnd w:id="124"/>
    </w:p>
    <w:p>
      <w:pPr>
        <w:spacing w:line="600" w:lineRule="exact"/>
        <w:jc w:val="left"/>
        <w:rPr>
          <w:rFonts w:ascii="宋体"/>
          <w:b/>
          <w:color w:val="auto"/>
          <w:sz w:val="44"/>
          <w:szCs w:val="44"/>
          <w:highlight w:val="none"/>
        </w:rPr>
      </w:pP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1、财政拨款收入：指单位从同级财政部门取得的财政预算资金。</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2、事业收入：指事业单位开展专业业务活动及辅助活动所取得的收入。</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3、年初结转和结余：指以前年度尚未完成、结转到本年按有关规定继续使用的资金。 </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4、社会保障和就业支出（类）行政事业单位离退休（款）  未归口管理的行政单位离退休（项）：指未实行归口管理的行政单位（包括实行公务员管理的事业单位）开支的离退休支出。</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5、社会保障和就业支出（类）行政事业单位离退休（款） 机关事业单位基本养老保险缴费支出（项）：指机关事业单位实施养老保险制度由单位缴纳的基本养老保险支出。</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6、社会保障和就业支出（类）行政事业单位离退休（款） 其他行政事业单位离退休支出（项 ）：指上述项目以外其他用于社会保障和就业方面的支出。</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7、社会保障和就业支出（类）抚恤（款）死亡抚恤（项）:指规定用于烈士和牺牲、病故人员家属的一次性和定期抚恤金以及丧葬补助费。</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8、医疗卫生与计划生育支出（类）医疗保障（款）行政单位医疗（项）：指财政部门安排的行政单位基本医疗保险缴费经费。</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9、医疗卫生与计划生育支出（类）医疗保障（款）事业单位医疗（项）：指财政部门安排的事业单位基本医疗保险缴费经费。</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10、农林水支出（类）水利（款）行政运行（项）：指行政单位（包括实行公务员管理的事业单位）的基本支出</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11、农林水支出（类）水利（款）水质监测（项）：指反映水利系统纳入预算管理的水质监测事业单位的支出。有关事项包括水质监测仪器设备运行维护，水环境监测技术的研究、开发与推广，进行水样品采集、保存、运输、测试、化验、分析、资料整编、发布水质公报等。</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12、农林水支出（类）水利（款）防汛（项）：指防汛业务支出。有关事项包括防汛物资购臵管护，防汛通信设施设备、网络系统、车船设备运行维护，防汛值班、水情报汛、防汛指挥系统运行维护、水毁修复以及防汛组织（如防汛预案编制、检查、演习、宣传、会议等），汛期调用民工及劳动保护，水利设施灾后重建，退田还湖，蓄滞洪区补偿，水情、雨情、决策支持，防汛视频会商，山洪灾害防治等。</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13、农林水支出（类）水利（款）水利工程建设（项）：反映水利系统用于江、河、湖、滩等水利工程建设支出，包括堤防、河道、水库、水利枢纽、涵闸、灌区、供水、蓄滞洪区等水利工程及其附属设备、设施的建设、更新改造、大中型病险水库防险、大中型灌区改造、农村电气化建设等支出。</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14、农林水支出（类）水利（款）其他水利支出（项）：指除上述项目以外其他用于水利方面的支出。</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15、住房保障支出（类）住房改革支出（款）住房公积金（项）：指行政事业单位按人事、财政部门规定的基本工资和津贴补贴以及规定比例为职工缴纳的住房公积金。</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16、年末结转和结余：指本年度或以前年度预算安排、因客观条件发生变化无法按原计划实施，需延迟到以后年度按有关规定继续使用的资金。</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17、基本支出：指为保障机构正常运转、完成日常工作任务而发生的人员支出和公用支出。</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18、项目支出：指在基本支出之外为完成特定行政任务和事业发展目标所发生的支出。 </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19、“三公”经费：纳入市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hint="eastAsia" w:ascii="黑体" w:hAnsi="黑体" w:eastAsia="黑体"/>
          <w:b w:val="0"/>
          <w:color w:val="auto"/>
          <w:highlight w:val="none"/>
          <w:lang w:eastAsia="zh-CN"/>
        </w:rPr>
      </w:pPr>
      <w:bookmarkStart w:id="125" w:name="_Toc15377226"/>
      <w:r>
        <w:rPr>
          <w:rFonts w:ascii="宋体"/>
          <w:b/>
          <w:color w:val="auto"/>
          <w:sz w:val="44"/>
          <w:szCs w:val="44"/>
          <w:highlight w:val="none"/>
        </w:rPr>
        <w:br w:type="page"/>
      </w:r>
      <w:bookmarkStart w:id="126" w:name="_Toc15396614"/>
      <w:bookmarkStart w:id="127" w:name="_Toc17486_WPSOffice_Level1"/>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126"/>
      <w:bookmarkEnd w:id="127"/>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bookmarkStart w:id="128" w:name="_Toc3097_WPSOffice_Level2"/>
      <w:bookmarkStart w:id="129" w:name="_Toc10144_WPSOffice_Level1"/>
      <w:bookmarkStart w:id="130" w:name="_Toc5553_WPSOffice_Level1"/>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雅安市水利局</w:t>
      </w:r>
      <w:r>
        <w:rPr>
          <w:rFonts w:hint="eastAsia" w:ascii="方正小标宋简体" w:hAnsi="宋体" w:eastAsia="方正小标宋简体"/>
          <w:color w:val="auto"/>
          <w:kern w:val="0"/>
          <w:sz w:val="40"/>
          <w:szCs w:val="44"/>
          <w:highlight w:val="none"/>
        </w:rPr>
        <w:t>部门整体绩效评价报告</w:t>
      </w:r>
      <w:bookmarkEnd w:id="128"/>
      <w:bookmarkEnd w:id="129"/>
      <w:bookmarkEnd w:id="130"/>
    </w:p>
    <w:p>
      <w:pPr>
        <w:pStyle w:val="17"/>
        <w:rPr>
          <w:rFonts w:hint="eastAsia"/>
        </w:rPr>
      </w:pPr>
    </w:p>
    <w:p>
      <w:pPr>
        <w:pStyle w:val="17"/>
        <w:rPr>
          <w:rFonts w:hint="eastAsia"/>
        </w:rPr>
      </w:pPr>
      <w:bookmarkStart w:id="131" w:name="_Toc30810_WPSOffice_Level2"/>
      <w:bookmarkStart w:id="132" w:name="_Toc30931_WPSOffice_Level2"/>
      <w:bookmarkStart w:id="133" w:name="_Toc10061_WPSOffice_Level2"/>
      <w:r>
        <w:rPr>
          <w:rFonts w:hint="eastAsia"/>
        </w:rPr>
        <w:t>一、部门（单位）概况</w:t>
      </w:r>
      <w:bookmarkEnd w:id="131"/>
      <w:bookmarkEnd w:id="132"/>
      <w:bookmarkEnd w:id="133"/>
    </w:p>
    <w:p>
      <w:pPr>
        <w:pStyle w:val="17"/>
        <w:rPr>
          <w:rFonts w:hint="eastAsia"/>
        </w:rPr>
      </w:pPr>
      <w:bookmarkStart w:id="134" w:name="_Toc3097_WPSOffice_Level3"/>
      <w:bookmarkStart w:id="135" w:name="_Toc30931_WPSOffice_Level3"/>
      <w:bookmarkStart w:id="136" w:name="_Toc10061_WPSOffice_Level3"/>
      <w:r>
        <w:rPr>
          <w:rFonts w:hint="eastAsia"/>
        </w:rPr>
        <w:t>（一）机构组成</w:t>
      </w:r>
      <w:bookmarkEnd w:id="134"/>
      <w:bookmarkEnd w:id="135"/>
      <w:bookmarkEnd w:id="136"/>
    </w:p>
    <w:p>
      <w:pPr>
        <w:pStyle w:val="17"/>
        <w:rPr>
          <w:rFonts w:hint="eastAsia"/>
        </w:rPr>
      </w:pPr>
      <w:r>
        <w:rPr>
          <w:rFonts w:hint="eastAsia"/>
        </w:rPr>
        <w:t>市水利局为财政全额拨款行政机关单位，</w:t>
      </w:r>
      <w:bookmarkStart w:id="190" w:name="_GoBack"/>
      <w:bookmarkEnd w:id="190"/>
      <w:r>
        <w:rPr>
          <w:rFonts w:hint="eastAsia"/>
        </w:rPr>
        <w:t>202</w:t>
      </w:r>
      <w:r>
        <w:rPr>
          <w:rFonts w:hint="eastAsia"/>
          <w:lang w:val="en-US" w:eastAsia="zh-CN"/>
        </w:rPr>
        <w:t>1</w:t>
      </w:r>
      <w:r>
        <w:rPr>
          <w:rFonts w:hint="eastAsia"/>
        </w:rPr>
        <w:t>年底在职人数共计</w:t>
      </w:r>
      <w:r>
        <w:rPr>
          <w:rFonts w:hint="eastAsia"/>
          <w:lang w:val="en-US" w:eastAsia="zh-CN"/>
        </w:rPr>
        <w:t>69</w:t>
      </w:r>
      <w:r>
        <w:rPr>
          <w:rFonts w:hint="eastAsia"/>
        </w:rPr>
        <w:t>人。</w:t>
      </w:r>
    </w:p>
    <w:p>
      <w:pPr>
        <w:pStyle w:val="17"/>
        <w:rPr>
          <w:rFonts w:hint="eastAsia"/>
        </w:rPr>
      </w:pPr>
      <w:bookmarkStart w:id="137" w:name="_Toc30810_WPSOffice_Level3"/>
      <w:bookmarkStart w:id="138" w:name="_Toc24275_WPSOffice_Level3"/>
      <w:bookmarkStart w:id="139" w:name="_Toc28306_WPSOffice_Level3"/>
      <w:r>
        <w:rPr>
          <w:rFonts w:hint="eastAsia"/>
        </w:rPr>
        <w:t>（二）机构职能</w:t>
      </w:r>
      <w:bookmarkEnd w:id="137"/>
      <w:bookmarkEnd w:id="138"/>
      <w:bookmarkEnd w:id="139"/>
    </w:p>
    <w:p>
      <w:pPr>
        <w:pStyle w:val="17"/>
        <w:rPr>
          <w:rFonts w:hint="eastAsia"/>
        </w:rPr>
      </w:pPr>
      <w:r>
        <w:rPr>
          <w:rFonts w:hint="eastAsia"/>
        </w:rPr>
        <w:t>1.雅安市水利局基本职能。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贯彻执行国家有关水行政管理工作的方针、政策和法律、法规，负责拟订并监督实施全市水利行政管理规范性文件。（2）负责生活、生产经营和生态环境用水的统筹兼顾和保障。(3)负责水资源保护工作。(4)负责全市节约用水工作。（5）指导水利设施、水域及其岸线的管理保护与综合利用，指导全市重要江河、湖泊、水库、滩涂的治理和开发，指导全市水利工程建设与运行管理，组织具有控制性的或跨县（区）的重要水利工程建设与运行管理，负责河道采砂的统一监督管理工作。（6）负责防治水土流失。（7）指导农村水利工作。（8）负责全市重大涉水违法事件的查处，协调、 仲裁跨县（区）水事纠纷，指导水政监察和水行政执法；负责水利建设工程项目的招标投标活动的监督执法。依法负责水利行业安全生产工作，组织、指导水库大坝等水利工程的安全监管，负责全市河道采砂安全生产监督管理职责。组织实施水利工程建设的监督，指导水利建设市场的监督管理。（9）开展全市水利科技和对外合作交流工作；组织开展全市水利行业质量监督工作，监督实施水利行业的技术标准、规程规范，组织水利科学研究、技术推广，承担全市水利统计工作。(10)贯彻执行国家有关河湖保护、治理、管理工作的方针政策和法律法规；承担河长制组织实施的具体工作。指导河湖水系连通工作。（11）负责水旱灾害防治，组织编制洪水干旱防治规划和防护标准；负责防洪抗旱调度和应急水量调度；承担水情旱情预警工作；承担防御洪水应急抢险的技术支撑工作。（12）承担市政府公布的有关行政审批事项。</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13</w:t>
      </w:r>
      <w:r>
        <w:rPr>
          <w:rFonts w:hint="eastAsia" w:ascii="仿宋_GB2312" w:hAnsi="仿宋" w:eastAsia="仿宋_GB2312"/>
          <w:sz w:val="32"/>
          <w:szCs w:val="32"/>
          <w:lang w:eastAsia="zh-CN"/>
        </w:rPr>
        <w:t>）</w:t>
      </w:r>
      <w:r>
        <w:rPr>
          <w:rFonts w:hint="eastAsia" w:ascii="仿宋_GB2312" w:hAnsi="仿宋" w:eastAsia="仿宋_GB2312"/>
          <w:sz w:val="32"/>
          <w:szCs w:val="32"/>
        </w:rPr>
        <w:t>指导编制大中型水利水电工程移民后期扶持规划和年度计划，并监督实施；组织开展移民后扶项目的申报立项和竣工验收工作；负责移民生产技能和就业技能培训等工作；负责三峡移民后续工作。（1</w:t>
      </w:r>
      <w:r>
        <w:rPr>
          <w:rFonts w:hint="eastAsia" w:ascii="仿宋_GB2312" w:hAnsi="仿宋" w:eastAsia="仿宋_GB2312"/>
          <w:sz w:val="32"/>
          <w:szCs w:val="32"/>
          <w:lang w:val="en-US" w:eastAsia="zh-CN"/>
        </w:rPr>
        <w:t>4</w:t>
      </w:r>
      <w:r>
        <w:rPr>
          <w:rFonts w:hint="eastAsia" w:ascii="仿宋_GB2312" w:hAnsi="仿宋" w:eastAsia="仿宋_GB2312"/>
          <w:sz w:val="32"/>
          <w:szCs w:val="32"/>
        </w:rPr>
        <w:t>）承办市委、市政府和上级部门交办的其他事项。</w:t>
      </w:r>
    </w:p>
    <w:p>
      <w:pPr>
        <w:pStyle w:val="17"/>
        <w:ind w:firstLine="960" w:firstLineChars="300"/>
        <w:rPr>
          <w:rFonts w:hint="eastAsia"/>
        </w:rPr>
      </w:pPr>
      <w:bookmarkStart w:id="140" w:name="_Toc548_WPSOffice_Level3"/>
      <w:bookmarkStart w:id="141" w:name="_Toc32108_WPSOffice_Level3"/>
      <w:bookmarkStart w:id="142" w:name="_Toc20178_WPSOffice_Level3"/>
      <w:r>
        <w:rPr>
          <w:rFonts w:hint="eastAsia"/>
        </w:rPr>
        <w:t>（三）人员概况</w:t>
      </w:r>
      <w:bookmarkEnd w:id="140"/>
      <w:bookmarkEnd w:id="141"/>
      <w:bookmarkEnd w:id="142"/>
    </w:p>
    <w:p>
      <w:pPr>
        <w:pStyle w:val="17"/>
        <w:ind w:firstLine="640" w:firstLineChars="200"/>
        <w:rPr>
          <w:rFonts w:hint="eastAsia"/>
          <w:color w:val="auto"/>
        </w:rPr>
      </w:pPr>
      <w:r>
        <w:rPr>
          <w:rFonts w:hint="eastAsia"/>
          <w:color w:val="auto"/>
        </w:rPr>
        <w:t>截至202</w:t>
      </w:r>
      <w:r>
        <w:rPr>
          <w:rFonts w:hint="eastAsia"/>
          <w:color w:val="auto"/>
          <w:lang w:val="en-US" w:eastAsia="zh-CN"/>
        </w:rPr>
        <w:t>1</w:t>
      </w:r>
      <w:r>
        <w:rPr>
          <w:rFonts w:hint="eastAsia"/>
          <w:color w:val="auto"/>
        </w:rPr>
        <w:t>年12月底，雅安市水利局在职</w:t>
      </w:r>
      <w:r>
        <w:rPr>
          <w:rFonts w:hint="eastAsia"/>
          <w:color w:val="auto"/>
          <w:lang w:val="en-US" w:eastAsia="zh-CN"/>
        </w:rPr>
        <w:t>69</w:t>
      </w:r>
      <w:r>
        <w:rPr>
          <w:rFonts w:hint="eastAsia"/>
          <w:color w:val="auto"/>
        </w:rPr>
        <w:t>人，其中行政人员2</w:t>
      </w:r>
      <w:r>
        <w:rPr>
          <w:rFonts w:hint="eastAsia"/>
          <w:color w:val="auto"/>
          <w:lang w:val="en-US" w:eastAsia="zh-CN"/>
        </w:rPr>
        <w:t>6</w:t>
      </w:r>
      <w:r>
        <w:rPr>
          <w:rFonts w:hint="eastAsia"/>
          <w:color w:val="auto"/>
        </w:rPr>
        <w:t>人，参公人员10人，工勤人员4人，事业人员</w:t>
      </w:r>
      <w:r>
        <w:rPr>
          <w:rFonts w:hint="eastAsia"/>
          <w:color w:val="auto"/>
          <w:lang w:val="en-US" w:eastAsia="zh-CN"/>
        </w:rPr>
        <w:t>29</w:t>
      </w:r>
      <w:r>
        <w:rPr>
          <w:rFonts w:hint="eastAsia"/>
          <w:color w:val="auto"/>
        </w:rPr>
        <w:t>人。</w:t>
      </w:r>
    </w:p>
    <w:p>
      <w:pPr>
        <w:pStyle w:val="17"/>
        <w:ind w:firstLine="960" w:firstLineChars="300"/>
        <w:rPr>
          <w:rFonts w:hint="eastAsia"/>
          <w:color w:val="auto"/>
        </w:rPr>
      </w:pPr>
      <w:bookmarkStart w:id="143" w:name="_Toc548_WPSOffice_Level2"/>
      <w:bookmarkStart w:id="144" w:name="_Toc24275_WPSOffice_Level2"/>
      <w:bookmarkStart w:id="145" w:name="_Toc28306_WPSOffice_Level2"/>
      <w:r>
        <w:rPr>
          <w:rFonts w:hint="eastAsia"/>
          <w:color w:val="auto"/>
        </w:rPr>
        <w:t>二、部门（单位）财政资金收支情况</w:t>
      </w:r>
      <w:bookmarkEnd w:id="143"/>
      <w:bookmarkEnd w:id="144"/>
      <w:bookmarkEnd w:id="145"/>
    </w:p>
    <w:p>
      <w:pPr>
        <w:pStyle w:val="17"/>
        <w:ind w:firstLine="640" w:firstLineChars="200"/>
        <w:rPr>
          <w:rFonts w:hint="eastAsia"/>
          <w:color w:val="auto"/>
          <w:lang w:eastAsia="zh-CN"/>
        </w:rPr>
      </w:pPr>
      <w:r>
        <w:rPr>
          <w:rFonts w:hint="eastAsia"/>
          <w:color w:val="auto"/>
        </w:rPr>
        <w:t>（一）部门财政资金收入情况。202</w:t>
      </w:r>
      <w:r>
        <w:rPr>
          <w:rFonts w:hint="eastAsia"/>
          <w:color w:val="auto"/>
          <w:lang w:val="en-US" w:eastAsia="zh-CN"/>
        </w:rPr>
        <w:t>1</w:t>
      </w:r>
      <w:r>
        <w:rPr>
          <w:rFonts w:hint="eastAsia"/>
          <w:color w:val="auto"/>
        </w:rPr>
        <w:t>年，市水利局收入合计</w:t>
      </w:r>
      <w:r>
        <w:rPr>
          <w:rFonts w:hint="eastAsia" w:ascii="仿宋" w:hAnsi="仿宋" w:eastAsia="仿宋"/>
          <w:color w:val="auto"/>
          <w:sz w:val="32"/>
          <w:szCs w:val="32"/>
          <w:highlight w:val="none"/>
        </w:rPr>
        <w:t>计2,021.22</w:t>
      </w:r>
      <w:r>
        <w:rPr>
          <w:rFonts w:hint="eastAsia"/>
          <w:color w:val="auto"/>
        </w:rPr>
        <w:t>万元，其中：一般公共预算财政拨款收入</w:t>
      </w:r>
      <w:r>
        <w:rPr>
          <w:rFonts w:hint="eastAsia" w:ascii="仿宋" w:hAnsi="仿宋" w:eastAsia="仿宋"/>
          <w:color w:val="auto"/>
          <w:sz w:val="32"/>
          <w:szCs w:val="32"/>
          <w:highlight w:val="none"/>
        </w:rPr>
        <w:t>计2,021.22</w:t>
      </w:r>
      <w:r>
        <w:rPr>
          <w:rFonts w:hint="eastAsia"/>
          <w:color w:val="auto"/>
        </w:rPr>
        <w:t>万元</w:t>
      </w:r>
      <w:r>
        <w:rPr>
          <w:rFonts w:hint="eastAsia"/>
          <w:color w:val="auto"/>
          <w:lang w:eastAsia="zh-CN"/>
        </w:rPr>
        <w:t>。</w:t>
      </w:r>
    </w:p>
    <w:p>
      <w:pPr>
        <w:spacing w:line="600" w:lineRule="exact"/>
        <w:ind w:firstLine="640" w:firstLineChars="200"/>
        <w:outlineLvl w:val="1"/>
        <w:rPr>
          <w:rFonts w:hint="eastAsia" w:ascii="仿宋_GB2312" w:hAnsi="Calibri" w:eastAsia="仿宋_GB2312" w:cs="黑体"/>
          <w:color w:val="auto"/>
          <w:kern w:val="0"/>
          <w:sz w:val="32"/>
          <w:szCs w:val="22"/>
          <w:lang w:val="en-US" w:eastAsia="zh-CN"/>
        </w:rPr>
      </w:pPr>
      <w:r>
        <w:rPr>
          <w:rFonts w:hint="eastAsia" w:ascii="仿宋_GB2312" w:hAnsi="Calibri" w:eastAsia="仿宋_GB2312" w:cs="黑体"/>
          <w:color w:val="auto"/>
          <w:kern w:val="0"/>
          <w:sz w:val="32"/>
          <w:szCs w:val="22"/>
          <w:lang w:val="en-US" w:eastAsia="zh-CN"/>
        </w:rPr>
        <w:t>（二）部门财政资金支出情况。2021年，市水利局支出3860.54万元，其中：基本支出2,769.38万元，占71.74%；项目支出1,091.16万元，占28.26%。</w:t>
      </w:r>
    </w:p>
    <w:p>
      <w:pPr>
        <w:pStyle w:val="17"/>
        <w:ind w:firstLine="640" w:firstLineChars="200"/>
        <w:rPr>
          <w:rFonts w:hint="eastAsia"/>
          <w:color w:val="auto"/>
        </w:rPr>
      </w:pPr>
      <w:bookmarkStart w:id="146" w:name="_Toc23249_WPSOffice_Level2"/>
      <w:bookmarkStart w:id="147" w:name="_Toc32108_WPSOffice_Level2"/>
      <w:bookmarkStart w:id="148" w:name="_Toc20178_WPSOffice_Level2"/>
      <w:r>
        <w:rPr>
          <w:rFonts w:hint="eastAsia"/>
          <w:color w:val="auto"/>
        </w:rPr>
        <w:t>三、部门（单位）整体预算绩效管理情况</w:t>
      </w:r>
      <w:bookmarkEnd w:id="146"/>
      <w:bookmarkEnd w:id="147"/>
      <w:bookmarkEnd w:id="148"/>
    </w:p>
    <w:p>
      <w:pPr>
        <w:pStyle w:val="17"/>
        <w:ind w:firstLine="640" w:firstLineChars="200"/>
        <w:rPr>
          <w:rFonts w:hint="eastAsia"/>
          <w:color w:val="auto"/>
        </w:rPr>
      </w:pPr>
      <w:r>
        <w:rPr>
          <w:rFonts w:hint="eastAsia"/>
          <w:color w:val="auto"/>
        </w:rPr>
        <w:t>（一）严格执行部门预算，按财政要求编制预算本年支出总额控制在预算总额以内，本年部门预算未进行相关事项的调整，不存在截留或滞留专项资金情况，预算执行进度正常，无违规违纪情况。</w:t>
      </w:r>
    </w:p>
    <w:p>
      <w:pPr>
        <w:pStyle w:val="17"/>
        <w:ind w:firstLine="640" w:firstLineChars="200"/>
        <w:rPr>
          <w:rFonts w:hint="eastAsia"/>
        </w:rPr>
      </w:pPr>
      <w:r>
        <w:rPr>
          <w:rFonts w:hint="eastAsia"/>
          <w:color w:val="auto"/>
        </w:rPr>
        <w:t>（二）结果应用情况，财政绩效评价工作组严格遵循“实事求是、尊重客观、力求准确”的原则，</w:t>
      </w:r>
      <w:r>
        <w:rPr>
          <w:rFonts w:hint="eastAsia"/>
        </w:rPr>
        <w:t>对市水利局202</w:t>
      </w:r>
      <w:r>
        <w:rPr>
          <w:rFonts w:hint="eastAsia"/>
          <w:lang w:val="en-US" w:eastAsia="zh-CN"/>
        </w:rPr>
        <w:t>1</w:t>
      </w:r>
      <w:r>
        <w:rPr>
          <w:rFonts w:hint="eastAsia"/>
        </w:rPr>
        <w:t>年度部门整体支出绩效目标评价各项指标进行评定，做到评价结果充分反映成效，如实反映问题。</w:t>
      </w:r>
    </w:p>
    <w:p>
      <w:pPr>
        <w:pStyle w:val="17"/>
        <w:rPr>
          <w:rFonts w:hint="eastAsia"/>
        </w:rPr>
      </w:pPr>
      <w:bookmarkStart w:id="149" w:name="_Toc2460_WPSOffice_Level2"/>
      <w:bookmarkStart w:id="150" w:name="_Toc16131_WPSOffice_Level2"/>
      <w:bookmarkStart w:id="151" w:name="_Toc4695_WPSOffice_Level2"/>
      <w:r>
        <w:rPr>
          <w:rFonts w:hint="eastAsia"/>
        </w:rPr>
        <w:t>四、评价结论及建议</w:t>
      </w:r>
      <w:bookmarkEnd w:id="149"/>
      <w:bookmarkEnd w:id="150"/>
      <w:bookmarkEnd w:id="151"/>
    </w:p>
    <w:p>
      <w:pPr>
        <w:pStyle w:val="17"/>
        <w:rPr>
          <w:rFonts w:hint="eastAsia"/>
        </w:rPr>
      </w:pPr>
      <w:r>
        <w:rPr>
          <w:rFonts w:hint="eastAsia"/>
        </w:rPr>
        <w:t>（一）评价结论。按照预算绩效管理要求,本部门对202</w:t>
      </w:r>
      <w:r>
        <w:rPr>
          <w:rFonts w:hint="eastAsia"/>
          <w:lang w:val="en-US" w:eastAsia="zh-CN"/>
        </w:rPr>
        <w:t>1</w:t>
      </w:r>
      <w:r>
        <w:rPr>
          <w:rFonts w:hint="eastAsia"/>
        </w:rPr>
        <w:t>年整体支出开展绩效自评,自查自评结果良好,全年基本支出保证了部门的正常运行和日常工作的正常开展,项目支出保障了重点工作的开展,达到预期绩效目标自评得分96分。</w:t>
      </w:r>
    </w:p>
    <w:p>
      <w:pPr>
        <w:pStyle w:val="17"/>
        <w:rPr>
          <w:rFonts w:hint="eastAsia"/>
        </w:rPr>
      </w:pPr>
      <w:r>
        <w:rPr>
          <w:rFonts w:hint="eastAsia"/>
        </w:rPr>
        <w:t>（二）存在问题。内控信息化建设不够完善。</w:t>
      </w:r>
    </w:p>
    <w:p>
      <w:pPr>
        <w:pStyle w:val="17"/>
        <w:rPr>
          <w:rFonts w:hint="eastAsia"/>
        </w:rPr>
      </w:pPr>
      <w:r>
        <w:rPr>
          <w:rFonts w:hint="eastAsia"/>
        </w:rPr>
        <w:t>（三）改进建议。一是绩效评价指标体系还不够完善；二是进一步加强内控制度的完整。</w:t>
      </w:r>
    </w:p>
    <w:p>
      <w:pPr>
        <w:pStyle w:val="17"/>
      </w:pP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color w:val="auto"/>
          <w:kern w:val="0"/>
          <w:sz w:val="24"/>
          <w:szCs w:val="32"/>
          <w:highlight w:val="none"/>
          <w:shd w:val="clear" w:color="auto" w:fill="FFFFFF"/>
        </w:rPr>
      </w:pPr>
    </w:p>
    <w:p>
      <w:pPr>
        <w:widowControl/>
        <w:adjustRightInd w:val="0"/>
        <w:snapToGrid w:val="0"/>
        <w:spacing w:line="580" w:lineRule="exact"/>
        <w:ind w:firstLine="723" w:firstLineChars="200"/>
        <w:contextualSpacing/>
        <w:jc w:val="center"/>
        <w:rPr>
          <w:rFonts w:hint="eastAsia" w:ascii="仿宋" w:hAnsi="仿宋" w:eastAsia="仿宋" w:cs="仿宋_GB2312"/>
          <w:b/>
          <w:sz w:val="36"/>
          <w:szCs w:val="32"/>
        </w:rPr>
      </w:pPr>
    </w:p>
    <w:p>
      <w:pPr>
        <w:widowControl/>
        <w:adjustRightInd w:val="0"/>
        <w:snapToGrid w:val="0"/>
        <w:spacing w:line="580" w:lineRule="exact"/>
        <w:ind w:firstLine="723" w:firstLineChars="200"/>
        <w:contextualSpacing/>
        <w:jc w:val="center"/>
        <w:rPr>
          <w:rFonts w:hint="eastAsia" w:ascii="仿宋" w:hAnsi="仿宋" w:eastAsia="仿宋" w:cs="仿宋_GB2312"/>
          <w:b/>
          <w:sz w:val="36"/>
          <w:szCs w:val="32"/>
        </w:rPr>
      </w:pPr>
    </w:p>
    <w:p>
      <w:pPr>
        <w:widowControl/>
        <w:adjustRightInd w:val="0"/>
        <w:snapToGrid w:val="0"/>
        <w:spacing w:line="580" w:lineRule="exact"/>
        <w:ind w:firstLine="723" w:firstLineChars="200"/>
        <w:contextualSpacing/>
        <w:jc w:val="center"/>
        <w:rPr>
          <w:rFonts w:ascii="仿宋" w:hAnsi="仿宋" w:eastAsia="仿宋" w:cs="仿宋_GB2312"/>
          <w:b/>
          <w:sz w:val="36"/>
          <w:szCs w:val="32"/>
        </w:rPr>
      </w:pPr>
      <w:bookmarkStart w:id="152" w:name="_Toc16885_WPSOffice_Level2"/>
      <w:bookmarkStart w:id="153" w:name="_Toc17684_WPSOffice_Level1"/>
      <w:bookmarkStart w:id="154" w:name="_Toc32373_WPSOffice_Level1"/>
      <w:r>
        <w:rPr>
          <w:rFonts w:hint="eastAsia" w:ascii="仿宋" w:hAnsi="仿宋" w:eastAsia="仿宋" w:cs="仿宋_GB2312"/>
          <w:b/>
          <w:sz w:val="36"/>
          <w:szCs w:val="32"/>
          <w:lang w:eastAsia="zh-CN"/>
        </w:rPr>
        <w:t>雅安市水利局</w:t>
      </w:r>
      <w:r>
        <w:rPr>
          <w:rFonts w:hint="eastAsia" w:ascii="仿宋" w:hAnsi="仿宋" w:eastAsia="仿宋" w:cs="仿宋_GB2312"/>
          <w:b/>
          <w:sz w:val="36"/>
          <w:szCs w:val="32"/>
        </w:rPr>
        <w:t>部门</w:t>
      </w:r>
      <w:r>
        <w:rPr>
          <w:rFonts w:ascii="仿宋" w:hAnsi="仿宋" w:eastAsia="仿宋" w:cs="仿宋_GB2312"/>
          <w:b/>
          <w:sz w:val="36"/>
          <w:szCs w:val="32"/>
        </w:rPr>
        <w:t>202</w:t>
      </w:r>
      <w:r>
        <w:rPr>
          <w:rFonts w:hint="eastAsia" w:ascii="仿宋" w:hAnsi="仿宋" w:eastAsia="仿宋" w:cs="仿宋_GB2312"/>
          <w:b/>
          <w:sz w:val="36"/>
          <w:szCs w:val="32"/>
          <w:lang w:val="en-US" w:eastAsia="zh-CN"/>
        </w:rPr>
        <w:t>1</w:t>
      </w:r>
      <w:r>
        <w:rPr>
          <w:rFonts w:hint="eastAsia" w:ascii="仿宋" w:hAnsi="仿宋" w:eastAsia="仿宋" w:cs="仿宋_GB2312"/>
          <w:b/>
          <w:sz w:val="36"/>
          <w:szCs w:val="32"/>
        </w:rPr>
        <w:t>年度部门</w:t>
      </w:r>
      <w:bookmarkEnd w:id="152"/>
      <w:bookmarkEnd w:id="153"/>
      <w:bookmarkEnd w:id="154"/>
    </w:p>
    <w:p>
      <w:pPr>
        <w:widowControl/>
        <w:adjustRightInd w:val="0"/>
        <w:snapToGrid w:val="0"/>
        <w:spacing w:line="580" w:lineRule="exact"/>
        <w:ind w:firstLine="723" w:firstLineChars="200"/>
        <w:contextualSpacing/>
        <w:jc w:val="center"/>
        <w:rPr>
          <w:rFonts w:ascii="仿宋_GB2312" w:hAnsi="宋体" w:eastAsia="仿宋_GB2312" w:cs="宋体"/>
          <w:color w:val="FF0000"/>
          <w:kern w:val="0"/>
          <w:sz w:val="32"/>
          <w:szCs w:val="32"/>
          <w:shd w:val="clear" w:color="auto" w:fill="FFFFFF"/>
          <w:lang w:val="zh-CN"/>
        </w:rPr>
      </w:pPr>
      <w:bookmarkStart w:id="155" w:name="_Toc15659_WPSOffice_Level2"/>
      <w:bookmarkStart w:id="156" w:name="_Toc22848_WPSOffice_Level1"/>
      <w:bookmarkStart w:id="157" w:name="_Toc13904_WPSOffice_Level1"/>
      <w:r>
        <w:rPr>
          <w:rFonts w:hint="eastAsia" w:ascii="仿宋" w:hAnsi="仿宋" w:eastAsia="仿宋" w:cs="仿宋_GB2312"/>
          <w:b/>
          <w:sz w:val="36"/>
          <w:szCs w:val="32"/>
        </w:rPr>
        <w:t>整体支出绩效评价自评表</w:t>
      </w:r>
      <w:bookmarkEnd w:id="155"/>
      <w:bookmarkEnd w:id="156"/>
      <w:bookmarkEnd w:id="157"/>
    </w:p>
    <w:tbl>
      <w:tblPr>
        <w:tblStyle w:val="16"/>
        <w:tblW w:w="9080" w:type="dxa"/>
        <w:tblInd w:w="0" w:type="dxa"/>
        <w:tblLayout w:type="fixed"/>
        <w:tblCellMar>
          <w:top w:w="0" w:type="dxa"/>
          <w:left w:w="108" w:type="dxa"/>
          <w:bottom w:w="0" w:type="dxa"/>
          <w:right w:w="108" w:type="dxa"/>
        </w:tblCellMar>
      </w:tblPr>
      <w:tblGrid>
        <w:gridCol w:w="2580"/>
        <w:gridCol w:w="1520"/>
        <w:gridCol w:w="2000"/>
        <w:gridCol w:w="1420"/>
        <w:gridCol w:w="1560"/>
      </w:tblGrid>
      <w:tr>
        <w:tblPrEx>
          <w:tblLayout w:type="fixed"/>
          <w:tblCellMar>
            <w:top w:w="0" w:type="dxa"/>
            <w:left w:w="108" w:type="dxa"/>
            <w:bottom w:w="0" w:type="dxa"/>
            <w:right w:w="108" w:type="dxa"/>
          </w:tblCellMar>
        </w:tblPrEx>
        <w:trPr>
          <w:trHeight w:val="522" w:hRule="atLeast"/>
        </w:trPr>
        <w:tc>
          <w:tcPr>
            <w:tcW w:w="610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绩效指标</w:t>
            </w:r>
          </w:p>
        </w:tc>
        <w:tc>
          <w:tcPr>
            <w:tcW w:w="14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指标分值</w:t>
            </w:r>
          </w:p>
        </w:tc>
        <w:tc>
          <w:tcPr>
            <w:tcW w:w="15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得分</w:t>
            </w:r>
          </w:p>
        </w:tc>
      </w:tr>
      <w:tr>
        <w:tblPrEx>
          <w:tblLayout w:type="fixed"/>
          <w:tblCellMar>
            <w:top w:w="0" w:type="dxa"/>
            <w:left w:w="108" w:type="dxa"/>
            <w:bottom w:w="0" w:type="dxa"/>
            <w:right w:w="108" w:type="dxa"/>
          </w:tblCellMar>
        </w:tblPrEx>
        <w:trPr>
          <w:trHeight w:val="522" w:hRule="atLeast"/>
        </w:trPr>
        <w:tc>
          <w:tcPr>
            <w:tcW w:w="2580" w:type="dxa"/>
            <w:tcBorders>
              <w:top w:val="nil"/>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一级指标</w:t>
            </w:r>
          </w:p>
        </w:tc>
        <w:tc>
          <w:tcPr>
            <w:tcW w:w="15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二级指标</w:t>
            </w: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三级指标</w:t>
            </w:r>
          </w:p>
        </w:tc>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22" w:hRule="atLeast"/>
        </w:trPr>
        <w:tc>
          <w:tcPr>
            <w:tcW w:w="258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部门预算管理（80分）</w:t>
            </w: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预算编制（30分）</w:t>
            </w: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目标制定</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10</w:t>
            </w:r>
          </w:p>
        </w:tc>
      </w:tr>
      <w:tr>
        <w:tblPrEx>
          <w:tblLayout w:type="fixed"/>
          <w:tblCellMar>
            <w:top w:w="0" w:type="dxa"/>
            <w:left w:w="108" w:type="dxa"/>
            <w:bottom w:w="0" w:type="dxa"/>
            <w:right w:w="108" w:type="dxa"/>
          </w:tblCellMar>
        </w:tblPrEx>
        <w:trPr>
          <w:trHeight w:val="522" w:hRule="atLeast"/>
        </w:trPr>
        <w:tc>
          <w:tcPr>
            <w:tcW w:w="2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目标完成</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8</w:t>
            </w:r>
          </w:p>
        </w:tc>
      </w:tr>
      <w:tr>
        <w:tblPrEx>
          <w:tblLayout w:type="fixed"/>
          <w:tblCellMar>
            <w:top w:w="0" w:type="dxa"/>
            <w:left w:w="108" w:type="dxa"/>
            <w:bottom w:w="0" w:type="dxa"/>
            <w:right w:w="108" w:type="dxa"/>
          </w:tblCellMar>
        </w:tblPrEx>
        <w:trPr>
          <w:trHeight w:val="522" w:hRule="atLeast"/>
        </w:trPr>
        <w:tc>
          <w:tcPr>
            <w:tcW w:w="2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编制标准</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10</w:t>
            </w:r>
          </w:p>
        </w:tc>
      </w:tr>
      <w:tr>
        <w:tblPrEx>
          <w:tblLayout w:type="fixed"/>
          <w:tblCellMar>
            <w:top w:w="0" w:type="dxa"/>
            <w:left w:w="108" w:type="dxa"/>
            <w:bottom w:w="0" w:type="dxa"/>
            <w:right w:w="108" w:type="dxa"/>
          </w:tblCellMar>
        </w:tblPrEx>
        <w:trPr>
          <w:trHeight w:val="522" w:hRule="atLeast"/>
        </w:trPr>
        <w:tc>
          <w:tcPr>
            <w:tcW w:w="2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预算执行（30分）</w:t>
            </w: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支出控制</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10</w:t>
            </w:r>
          </w:p>
        </w:tc>
      </w:tr>
      <w:tr>
        <w:tblPrEx>
          <w:tblLayout w:type="fixed"/>
          <w:tblCellMar>
            <w:top w:w="0" w:type="dxa"/>
            <w:left w:w="108" w:type="dxa"/>
            <w:bottom w:w="0" w:type="dxa"/>
            <w:right w:w="108" w:type="dxa"/>
          </w:tblCellMar>
        </w:tblPrEx>
        <w:trPr>
          <w:trHeight w:val="522" w:hRule="atLeast"/>
        </w:trPr>
        <w:tc>
          <w:tcPr>
            <w:tcW w:w="2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动态调整</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10</w:t>
            </w:r>
          </w:p>
        </w:tc>
      </w:tr>
      <w:tr>
        <w:tblPrEx>
          <w:tblLayout w:type="fixed"/>
          <w:tblCellMar>
            <w:top w:w="0" w:type="dxa"/>
            <w:left w:w="108" w:type="dxa"/>
            <w:bottom w:w="0" w:type="dxa"/>
            <w:right w:w="108" w:type="dxa"/>
          </w:tblCellMar>
        </w:tblPrEx>
        <w:trPr>
          <w:trHeight w:val="522" w:hRule="atLeast"/>
        </w:trPr>
        <w:tc>
          <w:tcPr>
            <w:tcW w:w="2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执行进度</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8</w:t>
            </w:r>
          </w:p>
        </w:tc>
      </w:tr>
      <w:tr>
        <w:tblPrEx>
          <w:tblLayout w:type="fixed"/>
          <w:tblCellMar>
            <w:top w:w="0" w:type="dxa"/>
            <w:left w:w="108" w:type="dxa"/>
            <w:bottom w:w="0" w:type="dxa"/>
            <w:right w:w="108" w:type="dxa"/>
          </w:tblCellMar>
        </w:tblPrEx>
        <w:trPr>
          <w:trHeight w:val="522" w:hRule="atLeast"/>
        </w:trPr>
        <w:tc>
          <w:tcPr>
            <w:tcW w:w="2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完成结果（20分）</w:t>
            </w: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预算完成</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10</w:t>
            </w:r>
          </w:p>
        </w:tc>
      </w:tr>
      <w:tr>
        <w:tblPrEx>
          <w:tblLayout w:type="fixed"/>
          <w:tblCellMar>
            <w:top w:w="0" w:type="dxa"/>
            <w:left w:w="108" w:type="dxa"/>
            <w:bottom w:w="0" w:type="dxa"/>
            <w:right w:w="108" w:type="dxa"/>
          </w:tblCellMar>
        </w:tblPrEx>
        <w:trPr>
          <w:trHeight w:val="522" w:hRule="atLeast"/>
        </w:trPr>
        <w:tc>
          <w:tcPr>
            <w:tcW w:w="2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违规记录</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10</w:t>
            </w:r>
          </w:p>
        </w:tc>
      </w:tr>
      <w:tr>
        <w:tblPrEx>
          <w:tblLayout w:type="fixed"/>
          <w:tblCellMar>
            <w:top w:w="0" w:type="dxa"/>
            <w:left w:w="108" w:type="dxa"/>
            <w:bottom w:w="0" w:type="dxa"/>
            <w:right w:w="108" w:type="dxa"/>
          </w:tblCellMar>
        </w:tblPrEx>
        <w:trPr>
          <w:trHeight w:val="855" w:hRule="atLeast"/>
        </w:trPr>
        <w:tc>
          <w:tcPr>
            <w:tcW w:w="258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绩效结果应用（20分）</w:t>
            </w:r>
          </w:p>
        </w:tc>
        <w:tc>
          <w:tcPr>
            <w:tcW w:w="1520" w:type="dxa"/>
            <w:tcBorders>
              <w:top w:val="nil"/>
              <w:left w:val="nil"/>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自评质量（4分）</w:t>
            </w: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自评准确</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4</w:t>
            </w:r>
          </w:p>
        </w:tc>
      </w:tr>
      <w:tr>
        <w:tblPrEx>
          <w:tblLayout w:type="fixed"/>
          <w:tblCellMar>
            <w:top w:w="0" w:type="dxa"/>
            <w:left w:w="108" w:type="dxa"/>
            <w:bottom w:w="0" w:type="dxa"/>
            <w:right w:w="108" w:type="dxa"/>
          </w:tblCellMar>
        </w:tblPrEx>
        <w:trPr>
          <w:trHeight w:val="522" w:hRule="atLeast"/>
        </w:trPr>
        <w:tc>
          <w:tcPr>
            <w:tcW w:w="2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信息公开（8分）</w:t>
            </w: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目标公开</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4</w:t>
            </w:r>
          </w:p>
        </w:tc>
      </w:tr>
      <w:tr>
        <w:tblPrEx>
          <w:tblLayout w:type="fixed"/>
          <w:tblCellMar>
            <w:top w:w="0" w:type="dxa"/>
            <w:left w:w="108" w:type="dxa"/>
            <w:bottom w:w="0" w:type="dxa"/>
            <w:right w:w="108" w:type="dxa"/>
          </w:tblCellMar>
        </w:tblPrEx>
        <w:trPr>
          <w:trHeight w:val="522" w:hRule="atLeast"/>
        </w:trPr>
        <w:tc>
          <w:tcPr>
            <w:tcW w:w="2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自评公开</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4</w:t>
            </w:r>
          </w:p>
        </w:tc>
      </w:tr>
      <w:tr>
        <w:tblPrEx>
          <w:tblLayout w:type="fixed"/>
          <w:tblCellMar>
            <w:top w:w="0" w:type="dxa"/>
            <w:left w:w="108" w:type="dxa"/>
            <w:bottom w:w="0" w:type="dxa"/>
            <w:right w:w="108" w:type="dxa"/>
          </w:tblCellMar>
        </w:tblPrEx>
        <w:trPr>
          <w:trHeight w:val="522" w:hRule="atLeast"/>
        </w:trPr>
        <w:tc>
          <w:tcPr>
            <w:tcW w:w="2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整改反馈（8分）</w:t>
            </w: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结果整改</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4</w:t>
            </w:r>
          </w:p>
        </w:tc>
      </w:tr>
      <w:tr>
        <w:tblPrEx>
          <w:tblLayout w:type="fixed"/>
          <w:tblCellMar>
            <w:top w:w="0" w:type="dxa"/>
            <w:left w:w="108" w:type="dxa"/>
            <w:bottom w:w="0" w:type="dxa"/>
            <w:right w:w="108" w:type="dxa"/>
          </w:tblCellMar>
        </w:tblPrEx>
        <w:trPr>
          <w:trHeight w:val="522" w:hRule="atLeast"/>
        </w:trPr>
        <w:tc>
          <w:tcPr>
            <w:tcW w:w="2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2"/>
                <w:szCs w:val="22"/>
              </w:rPr>
            </w:pPr>
          </w:p>
        </w:tc>
        <w:tc>
          <w:tcPr>
            <w:tcW w:w="200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应用反馈</w:t>
            </w:r>
          </w:p>
        </w:tc>
        <w:tc>
          <w:tcPr>
            <w:tcW w:w="142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4</w:t>
            </w:r>
          </w:p>
        </w:tc>
      </w:tr>
      <w:tr>
        <w:tblPrEx>
          <w:tblLayout w:type="fixed"/>
          <w:tblCellMar>
            <w:top w:w="0" w:type="dxa"/>
            <w:left w:w="108" w:type="dxa"/>
            <w:bottom w:w="0" w:type="dxa"/>
            <w:right w:w="108" w:type="dxa"/>
          </w:tblCellMar>
        </w:tblPrEx>
        <w:trPr>
          <w:trHeight w:val="522" w:hRule="atLeast"/>
        </w:trPr>
        <w:tc>
          <w:tcPr>
            <w:tcW w:w="752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总分</w:t>
            </w:r>
          </w:p>
        </w:tc>
        <w:tc>
          <w:tcPr>
            <w:tcW w:w="156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rPr>
              <w:t>　</w:t>
            </w:r>
            <w:r>
              <w:rPr>
                <w:rFonts w:hint="eastAsia" w:ascii="等线" w:hAnsi="等线" w:eastAsia="等线" w:cs="宋体"/>
                <w:color w:val="000000"/>
                <w:kern w:val="0"/>
                <w:sz w:val="22"/>
                <w:szCs w:val="22"/>
                <w:lang w:val="en-US" w:eastAsia="zh-CN"/>
              </w:rPr>
              <w:t>96</w:t>
            </w:r>
          </w:p>
        </w:tc>
      </w:tr>
    </w:tbl>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spacing w:line="600" w:lineRule="exact"/>
        <w:jc w:val="center"/>
        <w:outlineLvl w:val="0"/>
        <w:rPr>
          <w:rStyle w:val="26"/>
          <w:rFonts w:ascii="黑体" w:hAnsi="黑体" w:eastAsia="黑体"/>
          <w:b w:val="0"/>
          <w:color w:val="auto"/>
          <w:highlight w:val="none"/>
        </w:rPr>
      </w:pPr>
      <w:bookmarkStart w:id="158" w:name="_Toc18777_WPSOffice_Level1"/>
      <w:bookmarkStart w:id="159" w:name="_Toc3091_WPSOffice_Level1"/>
      <w:bookmarkStart w:id="160" w:name="_Toc23930_WPSOffice_Level1"/>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158"/>
      <w:bookmarkEnd w:id="159"/>
      <w:bookmarkEnd w:id="160"/>
    </w:p>
    <w:p>
      <w:pPr>
        <w:keepNext w:val="0"/>
        <w:keepLines w:val="0"/>
        <w:pageBreakBefore w:val="0"/>
        <w:kinsoku/>
        <w:wordWrap/>
        <w:overflowPunct/>
        <w:topLinePunct w:val="0"/>
        <w:autoSpaceDE/>
        <w:autoSpaceDN/>
        <w:bidi w:val="0"/>
        <w:spacing w:line="572" w:lineRule="exact"/>
        <w:jc w:val="left"/>
        <w:textAlignment w:val="auto"/>
        <w:outlineLvl w:val="0"/>
        <w:rPr>
          <w:rFonts w:hint="eastAsia" w:hAnsi="宋体" w:cs="宋体"/>
          <w:color w:val="auto"/>
          <w:kern w:val="0"/>
          <w:sz w:val="32"/>
          <w:szCs w:val="32"/>
          <w:highlight w:val="none"/>
          <w:shd w:val="clear" w:color="auto" w:fill="FFFFFF"/>
          <w:lang w:val="zh-CN"/>
        </w:rPr>
      </w:pPr>
      <w:r>
        <w:rPr>
          <w:rFonts w:hint="eastAsia" w:ascii="黑体" w:hAnsi="黑体" w:eastAsia="黑体" w:cs="黑体"/>
          <w:color w:val="auto"/>
          <w:sz w:val="32"/>
          <w:szCs w:val="32"/>
          <w:highlight w:val="none"/>
        </w:rPr>
        <w:t>附件</w:t>
      </w:r>
    </w:p>
    <w:tbl>
      <w:tblPr>
        <w:tblStyle w:val="16"/>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w:t>
            </w:r>
            <w:r>
              <w:rPr>
                <w:rFonts w:hint="eastAsia" w:ascii="宋体" w:hAnsi="宋体" w:cs="宋体"/>
                <w:b/>
                <w:i w:val="0"/>
                <w:color w:val="auto"/>
                <w:sz w:val="32"/>
                <w:szCs w:val="32"/>
                <w:u w:val="none"/>
                <w:lang w:val="en-US" w:eastAsia="zh-CN"/>
              </w:rPr>
              <w:t>50</w:t>
            </w:r>
            <w:r>
              <w:rPr>
                <w:rFonts w:hint="eastAsia" w:ascii="宋体" w:hAnsi="宋体" w:eastAsia="宋体" w:cs="宋体"/>
                <w:b/>
                <w:i w:val="0"/>
                <w:color w:val="auto"/>
                <w:sz w:val="32"/>
                <w:szCs w:val="32"/>
                <w:u w:val="none"/>
                <w:lang w:val="en-US" w:eastAsia="zh-CN"/>
              </w:rPr>
              <w:t>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雅安市水利局   606601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雅安市水文局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87万元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87万元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由雅安水文局根据省、市主管部门要求和水文测报相关技术规范，确保中小河流水文监测站网正常运行，为防汛减灾提供技术支撑和水文监测服务</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雅安水文局根据省、市主管部门要求和水文测报相关技术规范，确保中小河流水文监测站网正常运行，为防汛减灾提供技术支撑和水文监测服务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保证雨量站正常运行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58个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58个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保证水文站正常运行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8个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1098"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保证水位站正常运行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13个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设施设备安全运行率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安全运行率100%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安全运行率100%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78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资金到位时间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2021年.6月前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2021年.6月前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保证水文监测系统正常运行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2021年度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站点故障修复时限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48小时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48小时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保障人民生命安全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全力保障人民生命安全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通过监测站点运维，提升汛期监测预警，保障人民生命安全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对河流水位水文情况进行实时监控，发挥生态效益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提升33条河流监测预警，发挥生态效益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对境内大渡河、青衣江等33条河流开展水文测报和洪水预警，发挥生态效益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提升防汛监测预警能力</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通过对水文监测系统维护管理，2021年持续保障监测站点的正常运行。持续 提升防汛监测预警能力</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2021年持续保障监测站点的正常运行。持续 提升防汛监测预警能力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社会群众满意度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≥90%</w:t>
            </w:r>
          </w:p>
        </w:tc>
      </w:tr>
    </w:tbl>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strike/>
          <w:dstrike w:val="0"/>
          <w:color w:val="auto"/>
          <w:kern w:val="2"/>
          <w:sz w:val="32"/>
          <w:szCs w:val="32"/>
          <w:highlight w:val="none"/>
          <w:lang w:val="zh-CN" w:eastAsia="zh-CN" w:bidi="ar-SA"/>
        </w:rPr>
      </w:pPr>
    </w:p>
    <w:p>
      <w:pPr>
        <w:pStyle w:val="2"/>
        <w:rPr>
          <w:rFonts w:hint="eastAsia"/>
          <w:strike/>
          <w:dstrike w:val="0"/>
          <w:color w:val="auto"/>
          <w:highlight w:val="none"/>
          <w:lang w:val="zh-CN"/>
        </w:rPr>
      </w:pPr>
    </w:p>
    <w:p>
      <w:pPr>
        <w:pStyle w:val="2"/>
        <w:rPr>
          <w:rFonts w:hint="eastAsia"/>
          <w:strike/>
          <w:dstrike w:val="0"/>
          <w:color w:val="auto"/>
          <w:highlight w:val="none"/>
          <w:lang w:val="zh-CN"/>
        </w:rPr>
      </w:pPr>
    </w:p>
    <w:p>
      <w:pPr>
        <w:widowControl/>
        <w:jc w:val="left"/>
        <w:rPr>
          <w:rFonts w:hint="eastAsia" w:ascii="黑体" w:hAnsi="黑体" w:eastAsia="黑体"/>
          <w:color w:val="auto"/>
          <w:sz w:val="44"/>
          <w:szCs w:val="44"/>
          <w:highlight w:val="none"/>
        </w:rPr>
      </w:pPr>
      <w:bookmarkStart w:id="161" w:name="_Toc15396618"/>
    </w:p>
    <w:p>
      <w:pPr>
        <w:widowControl/>
        <w:ind w:firstLine="3080" w:firstLineChars="700"/>
        <w:jc w:val="both"/>
        <w:rPr>
          <w:rFonts w:hint="eastAsia" w:ascii="黑体" w:hAnsi="黑体" w:eastAsia="黑体"/>
          <w:color w:val="auto"/>
          <w:sz w:val="44"/>
          <w:szCs w:val="44"/>
          <w:highlight w:val="none"/>
        </w:rPr>
      </w:pPr>
    </w:p>
    <w:p>
      <w:pPr>
        <w:widowControl/>
        <w:ind w:firstLine="3080" w:firstLineChars="700"/>
        <w:jc w:val="both"/>
        <w:rPr>
          <w:rFonts w:hint="eastAsia" w:ascii="黑体" w:hAnsi="黑体" w:eastAsia="黑体"/>
          <w:color w:val="auto"/>
          <w:sz w:val="44"/>
          <w:szCs w:val="44"/>
          <w:highlight w:val="none"/>
        </w:rPr>
      </w:pPr>
    </w:p>
    <w:p>
      <w:pPr>
        <w:widowControl/>
        <w:ind w:firstLine="3080" w:firstLineChars="700"/>
        <w:jc w:val="both"/>
        <w:rPr>
          <w:rFonts w:hint="eastAsia" w:ascii="黑体" w:hAnsi="黑体" w:eastAsia="黑体"/>
          <w:color w:val="auto"/>
          <w:sz w:val="44"/>
          <w:szCs w:val="44"/>
          <w:highlight w:val="none"/>
        </w:rPr>
      </w:pPr>
    </w:p>
    <w:p>
      <w:pPr>
        <w:widowControl/>
        <w:ind w:firstLine="3080" w:firstLineChars="700"/>
        <w:jc w:val="both"/>
        <w:rPr>
          <w:rFonts w:hint="eastAsia" w:ascii="黑体" w:hAnsi="黑体" w:eastAsia="黑体"/>
          <w:color w:val="auto"/>
          <w:sz w:val="44"/>
          <w:szCs w:val="44"/>
          <w:highlight w:val="none"/>
        </w:rPr>
      </w:pPr>
    </w:p>
    <w:p>
      <w:pPr>
        <w:widowControl/>
        <w:ind w:firstLine="3080" w:firstLineChars="700"/>
        <w:jc w:val="both"/>
        <w:rPr>
          <w:rFonts w:hint="eastAsia" w:ascii="黑体" w:hAnsi="黑体" w:eastAsia="黑体"/>
          <w:color w:val="auto"/>
          <w:sz w:val="44"/>
          <w:szCs w:val="44"/>
          <w:highlight w:val="none"/>
        </w:rPr>
      </w:pPr>
    </w:p>
    <w:p>
      <w:pPr>
        <w:widowControl/>
        <w:ind w:firstLine="3080" w:firstLineChars="700"/>
        <w:jc w:val="both"/>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tbl>
      <w:tblPr>
        <w:tblStyle w:val="16"/>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469"/>
        <w:gridCol w:w="2165"/>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w:t>
            </w:r>
            <w:r>
              <w:rPr>
                <w:rFonts w:hint="eastAsia" w:ascii="宋体" w:hAnsi="宋体" w:cs="宋体"/>
                <w:b/>
                <w:i w:val="0"/>
                <w:color w:val="auto"/>
                <w:sz w:val="32"/>
                <w:szCs w:val="32"/>
                <w:u w:val="none"/>
                <w:lang w:val="en-US" w:eastAsia="zh-CN"/>
              </w:rPr>
              <w:t>50</w:t>
            </w:r>
            <w:r>
              <w:rPr>
                <w:rFonts w:hint="eastAsia" w:ascii="宋体" w:hAnsi="宋体" w:eastAsia="宋体" w:cs="宋体"/>
                <w:b/>
                <w:i w:val="0"/>
                <w:color w:val="auto"/>
                <w:sz w:val="32"/>
                <w:szCs w:val="32"/>
                <w:u w:val="none"/>
                <w:lang w:val="en-US" w:eastAsia="zh-CN"/>
              </w:rPr>
              <w:t>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雅安市水利局   606601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四川禹云信息技术有限公司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410万元</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410万元</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聚焦融合发展，党建引领水利中心工作。出真抓实干，扎实推进河（湖）长制。科学治水管水，保护水生态环境。注重巩固成效，全力推进农村安全饮水工作。聚焦防汛减灾，促进行业安全。强化协调推进，全做好水土保持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聚焦融合发展，党建引领水利中心工作。出真抓实干，扎实推进河（湖）长制。科学治水管水，保护水生态环境。注重巩固成效，全力推进农村安全饮水工作。聚焦防汛减灾，促进行业安全。强化协调推进，全面做好水土保持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雨量站升级改造</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61个</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61个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开展完成1条河湖健康评价</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1条</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1098"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val="en-US" w:eastAsia="zh-CN"/>
              </w:rPr>
              <w:t>水资源公报编制</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1期</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1098"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全市用水总量</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≤7.12亿m3</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≤7.12亿m3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1098"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开展水利相关监督检查</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≥500次</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1396"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开展水利相关宣传培训</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≥15次</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三级河长巡河次数</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≥12000次</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≥12000次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78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完成防汛应急演练</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1次</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水事违法行为查处率</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发现水事违法行为查处率100%</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全市已立案查处涉水案件13起,已移交公安2起,罚款24.5296万元，查处率100%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水资源监测监控率</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水资源监测监控率98%</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水资源监测监控率98%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效益</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时效指标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完成河长制、水资源、水保、防汛有关年度目标</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2021年</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时效指标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设施设备检查汛前完成率100%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汛期前</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汛期前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经济效益</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带动就业率</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项目施工过程中能带动农村部分剩余劳动力，增加了社会就业率</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带动部分农村剩余劳动力，带动就业率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711"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社会效益</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汛期保障人民群众生命财产安全</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汛期提高水文站点对河流洪水监测监控，进一步提升监测预警能力，保障人民群众生命财产安全</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汛期提高水文站点对河流洪水监测监控，升级改造205处山洪监测站点、61个雨量站、69个水位站，保障人民群众生命财产安全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30" w:hRule="atLeast"/>
        </w:trPr>
        <w:tc>
          <w:tcPr>
            <w:tcW w:w="1977"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kern w:val="0"/>
                <w:sz w:val="24"/>
                <w:szCs w:val="24"/>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加强生态流量管控</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加强生态流量管控，全市水电站生态流量达标率100%，视频监控率100%，流量监测率100%</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全市水电站生态流量达标率100%，视频监控率100%，流量监测率99%，基本消灭脱水河段，河流生态环境得到了有效改善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30" w:hRule="atLeast"/>
        </w:trPr>
        <w:tc>
          <w:tcPr>
            <w:tcW w:w="1977"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kern w:val="0"/>
                <w:sz w:val="24"/>
                <w:szCs w:val="24"/>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强化水土保持治理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持续做好水土流失综合治理，严格控制人为水土流失</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持续做好水土流失综合治理，已完成水土保持治理面积24.91平方公里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30" w:hRule="atLeast"/>
        </w:trPr>
        <w:tc>
          <w:tcPr>
            <w:tcW w:w="1977"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kern w:val="0"/>
                <w:sz w:val="24"/>
                <w:szCs w:val="24"/>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推动河湖治理</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加强河湖巡查四乱整治，维护河道生态环境</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清理排查四乱点位31处，已完成整改销号23处，发现并整改巡河问题518个，维护河道生态环境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30" w:hRule="atLeast"/>
        </w:trPr>
        <w:tc>
          <w:tcPr>
            <w:tcW w:w="1977"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可持续影响</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促进水资源可持续利用</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水资源公报编报完成，以促进水资源可持续利用</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2020年水资源公报编制中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30" w:hRule="atLeast"/>
        </w:trPr>
        <w:tc>
          <w:tcPr>
            <w:tcW w:w="1977"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服务对象</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满意度指标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社会群众满意度</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≥90%</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≥90%</w:t>
            </w:r>
          </w:p>
        </w:tc>
      </w:tr>
    </w:tbl>
    <w:p>
      <w:pPr>
        <w:pStyle w:val="2"/>
        <w:rPr>
          <w:rFonts w:hint="eastAsia" w:ascii="黑体" w:hAnsi="黑体" w:eastAsia="黑体"/>
          <w:color w:val="auto"/>
          <w:sz w:val="44"/>
          <w:szCs w:val="44"/>
          <w:highlight w:val="none"/>
        </w:rPr>
      </w:pPr>
    </w:p>
    <w:p>
      <w:pPr>
        <w:widowControl/>
        <w:ind w:firstLine="3080" w:firstLineChars="700"/>
        <w:jc w:val="both"/>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widowControl/>
        <w:ind w:firstLine="3080" w:firstLineChars="700"/>
        <w:jc w:val="both"/>
        <w:rPr>
          <w:rFonts w:hint="eastAsia" w:ascii="仿宋" w:hAnsi="仿宋" w:eastAsia="仿宋"/>
          <w:b w:val="0"/>
          <w:color w:val="auto"/>
          <w:highlight w:val="none"/>
        </w:rPr>
      </w:pPr>
      <w:bookmarkStart w:id="162" w:name="_Toc19518_WPSOffice_Level1"/>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125"/>
      <w:bookmarkEnd w:id="161"/>
      <w:bookmarkEnd w:id="162"/>
      <w:bookmarkStart w:id="163" w:name="_Toc15396619"/>
    </w:p>
    <w:p>
      <w:pPr>
        <w:pStyle w:val="4"/>
        <w:rPr>
          <w:rFonts w:ascii="仿宋" w:hAnsi="仿宋" w:eastAsia="仿宋"/>
          <w:color w:val="auto"/>
          <w:highlight w:val="none"/>
        </w:rPr>
      </w:pPr>
      <w:bookmarkStart w:id="164" w:name="_Toc18350_WPSOffice_Level2"/>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163"/>
      <w:bookmarkEnd w:id="164"/>
    </w:p>
    <w:p>
      <w:pPr>
        <w:pStyle w:val="4"/>
        <w:rPr>
          <w:rFonts w:ascii="仿宋" w:hAnsi="仿宋" w:eastAsia="仿宋"/>
          <w:color w:val="auto"/>
          <w:highlight w:val="none"/>
        </w:rPr>
      </w:pPr>
      <w:bookmarkStart w:id="165" w:name="_Toc15396620"/>
      <w:bookmarkStart w:id="166" w:name="_Toc25063_WPSOffice_Level2"/>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165"/>
      <w:bookmarkEnd w:id="166"/>
    </w:p>
    <w:p>
      <w:pPr>
        <w:pStyle w:val="4"/>
        <w:rPr>
          <w:rFonts w:ascii="仿宋" w:hAnsi="仿宋" w:eastAsia="仿宋"/>
          <w:color w:val="auto"/>
          <w:highlight w:val="none"/>
        </w:rPr>
      </w:pPr>
      <w:bookmarkStart w:id="167" w:name="_Toc15396621"/>
      <w:bookmarkStart w:id="168" w:name="_Toc30382_WPSOffice_Level2"/>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167"/>
      <w:bookmarkEnd w:id="168"/>
    </w:p>
    <w:p>
      <w:pPr>
        <w:pStyle w:val="4"/>
        <w:rPr>
          <w:rFonts w:ascii="仿宋" w:hAnsi="仿宋" w:eastAsia="仿宋"/>
          <w:b w:val="0"/>
          <w:color w:val="auto"/>
          <w:highlight w:val="none"/>
        </w:rPr>
      </w:pPr>
      <w:bookmarkStart w:id="169" w:name="_Toc15396622"/>
      <w:bookmarkStart w:id="170" w:name="_Toc6000_WPSOffice_Level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169"/>
      <w:bookmarkEnd w:id="170"/>
    </w:p>
    <w:p>
      <w:pPr>
        <w:pStyle w:val="4"/>
        <w:rPr>
          <w:rStyle w:val="27"/>
          <w:rFonts w:ascii="仿宋" w:hAnsi="仿宋" w:eastAsia="仿宋"/>
          <w:b w:val="0"/>
          <w:bCs w:val="0"/>
          <w:color w:val="auto"/>
          <w:highlight w:val="none"/>
        </w:rPr>
      </w:pPr>
      <w:bookmarkStart w:id="171" w:name="_Toc15396623"/>
      <w:bookmarkStart w:id="172" w:name="_Toc15259_WPSOffice_Level2"/>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171"/>
      <w:bookmarkEnd w:id="172"/>
      <w:bookmarkStart w:id="173" w:name="_Toc15396624"/>
    </w:p>
    <w:p>
      <w:pPr>
        <w:pStyle w:val="4"/>
        <w:rPr>
          <w:rFonts w:ascii="仿宋" w:hAnsi="仿宋" w:eastAsia="仿宋"/>
          <w:color w:val="auto"/>
          <w:highlight w:val="none"/>
        </w:rPr>
      </w:pPr>
      <w:bookmarkStart w:id="174" w:name="_Toc4278_WPSOffice_Level2"/>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173"/>
      <w:bookmarkEnd w:id="174"/>
    </w:p>
    <w:p>
      <w:pPr>
        <w:pStyle w:val="4"/>
        <w:rPr>
          <w:rFonts w:ascii="仿宋" w:hAnsi="仿宋" w:eastAsia="仿宋"/>
          <w:color w:val="auto"/>
          <w:highlight w:val="none"/>
        </w:rPr>
      </w:pPr>
      <w:bookmarkStart w:id="175" w:name="_Toc3514_WPSOffice_Level2"/>
      <w:bookmarkStart w:id="176"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175"/>
      <w:bookmarkEnd w:id="176"/>
    </w:p>
    <w:p>
      <w:pPr>
        <w:pStyle w:val="4"/>
        <w:rPr>
          <w:rFonts w:ascii="仿宋" w:hAnsi="仿宋" w:eastAsia="仿宋"/>
          <w:color w:val="auto"/>
          <w:highlight w:val="none"/>
        </w:rPr>
      </w:pPr>
      <w:bookmarkStart w:id="177" w:name="_Toc7714_WPSOffice_Level2"/>
      <w:bookmarkStart w:id="178"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177"/>
      <w:bookmarkEnd w:id="178"/>
    </w:p>
    <w:p>
      <w:pPr>
        <w:pStyle w:val="4"/>
        <w:rPr>
          <w:rFonts w:ascii="仿宋" w:hAnsi="仿宋" w:eastAsia="仿宋"/>
          <w:color w:val="auto"/>
          <w:highlight w:val="none"/>
        </w:rPr>
      </w:pPr>
      <w:bookmarkStart w:id="179" w:name="_Toc8512_WPSOffice_Level2"/>
      <w:bookmarkStart w:id="180"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179"/>
      <w:bookmarkEnd w:id="180"/>
    </w:p>
    <w:p>
      <w:pPr>
        <w:pStyle w:val="4"/>
        <w:rPr>
          <w:rFonts w:ascii="仿宋" w:hAnsi="仿宋" w:eastAsia="仿宋"/>
          <w:color w:val="auto"/>
          <w:highlight w:val="none"/>
        </w:rPr>
      </w:pPr>
      <w:bookmarkStart w:id="181" w:name="_Toc23248_WPSOffice_Level2"/>
      <w:bookmarkStart w:id="182"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181"/>
      <w:bookmarkEnd w:id="182"/>
    </w:p>
    <w:p>
      <w:pPr>
        <w:pStyle w:val="4"/>
        <w:rPr>
          <w:rFonts w:ascii="仿宋" w:hAnsi="仿宋" w:eastAsia="仿宋"/>
          <w:color w:val="auto"/>
          <w:highlight w:val="none"/>
        </w:rPr>
      </w:pPr>
      <w:bookmarkStart w:id="183" w:name="_Toc1426_WPSOffice_Level2"/>
      <w:bookmarkStart w:id="184"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183"/>
      <w:bookmarkEnd w:id="184"/>
    </w:p>
    <w:p>
      <w:pPr>
        <w:pStyle w:val="4"/>
        <w:rPr>
          <w:rFonts w:ascii="仿宋" w:hAnsi="仿宋" w:eastAsia="仿宋"/>
          <w:color w:val="auto"/>
          <w:highlight w:val="none"/>
        </w:rPr>
      </w:pPr>
      <w:bookmarkStart w:id="185" w:name="_Toc24168_WPSOffice_Level2"/>
      <w:bookmarkStart w:id="186"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185"/>
      <w:bookmarkEnd w:id="186"/>
    </w:p>
    <w:p>
      <w:pPr>
        <w:pStyle w:val="4"/>
        <w:rPr>
          <w:rStyle w:val="27"/>
          <w:rFonts w:hint="eastAsia" w:ascii="仿宋" w:hAnsi="仿宋" w:eastAsia="仿宋"/>
          <w:b w:val="0"/>
          <w:bCs w:val="0"/>
          <w:color w:val="auto"/>
          <w:highlight w:val="none"/>
        </w:rPr>
      </w:pPr>
      <w:bookmarkStart w:id="187" w:name="_Toc15396631"/>
      <w:bookmarkStart w:id="188" w:name="_Toc27202_WPSOffice_Level2"/>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187"/>
      <w:bookmarkEnd w:id="188"/>
    </w:p>
    <w:p>
      <w:pPr>
        <w:rPr>
          <w:rStyle w:val="27"/>
          <w:rFonts w:hint="eastAsia" w:ascii="仿宋" w:hAnsi="仿宋" w:eastAsia="仿宋"/>
          <w:b w:val="0"/>
          <w:bCs w:val="0"/>
          <w:color w:val="auto"/>
          <w:highlight w:val="none"/>
          <w:lang w:eastAsia="zh-CN"/>
        </w:rPr>
      </w:pPr>
      <w:bookmarkStart w:id="189" w:name="_Toc24215_WPSOffice_Level2"/>
      <w:r>
        <w:rPr>
          <w:rStyle w:val="27"/>
          <w:rFonts w:hint="eastAsia" w:ascii="仿宋" w:hAnsi="仿宋" w:eastAsia="仿宋"/>
          <w:b w:val="0"/>
          <w:bCs w:val="0"/>
          <w:color w:val="auto"/>
          <w:highlight w:val="none"/>
          <w:lang w:eastAsia="zh-CN"/>
        </w:rPr>
        <w:t>十四、国有资本经营预算财政拨款支出决算表</w:t>
      </w:r>
      <w:bookmarkEnd w:id="189"/>
    </w:p>
    <w:p>
      <w:pPr>
        <w:pStyle w:val="2"/>
        <w:rPr>
          <w:rFonts w:hint="eastAsia"/>
          <w:lang w:eastAsia="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6C64E02"/>
    <w:multiLevelType w:val="singleLevel"/>
    <w:tmpl w:val="E6C64E02"/>
    <w:lvl w:ilvl="0" w:tentative="0">
      <w:start w:val="4"/>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YWU2MWZlZDljMjk3MzM2N2RkNDFlZjBlMTc1MD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66988"/>
    <w:rsid w:val="014D0C00"/>
    <w:rsid w:val="066E0107"/>
    <w:rsid w:val="070232D2"/>
    <w:rsid w:val="074A15C9"/>
    <w:rsid w:val="07996F6E"/>
    <w:rsid w:val="08711502"/>
    <w:rsid w:val="0A2032A3"/>
    <w:rsid w:val="101860EC"/>
    <w:rsid w:val="10C055FF"/>
    <w:rsid w:val="118107EC"/>
    <w:rsid w:val="11902745"/>
    <w:rsid w:val="13D50BC4"/>
    <w:rsid w:val="16BB723D"/>
    <w:rsid w:val="1B56799D"/>
    <w:rsid w:val="1BE8440E"/>
    <w:rsid w:val="1D155CEE"/>
    <w:rsid w:val="1DCE095D"/>
    <w:rsid w:val="1F776A6C"/>
    <w:rsid w:val="21BB024F"/>
    <w:rsid w:val="22662E5B"/>
    <w:rsid w:val="22E365D6"/>
    <w:rsid w:val="23860B96"/>
    <w:rsid w:val="240371BF"/>
    <w:rsid w:val="29FD04D3"/>
    <w:rsid w:val="2C8A61B5"/>
    <w:rsid w:val="2DF04E50"/>
    <w:rsid w:val="2F332920"/>
    <w:rsid w:val="319F7F4E"/>
    <w:rsid w:val="36AA5135"/>
    <w:rsid w:val="37E16F03"/>
    <w:rsid w:val="3B6424BF"/>
    <w:rsid w:val="3CC271BD"/>
    <w:rsid w:val="3D98207C"/>
    <w:rsid w:val="3DE264DF"/>
    <w:rsid w:val="40BA0BBC"/>
    <w:rsid w:val="43961381"/>
    <w:rsid w:val="43DE254A"/>
    <w:rsid w:val="44E268DA"/>
    <w:rsid w:val="48020027"/>
    <w:rsid w:val="4A627F82"/>
    <w:rsid w:val="4AE36167"/>
    <w:rsid w:val="4B303697"/>
    <w:rsid w:val="4B4F25DA"/>
    <w:rsid w:val="4BE068DB"/>
    <w:rsid w:val="4C491A5E"/>
    <w:rsid w:val="4D1A47D3"/>
    <w:rsid w:val="4D577224"/>
    <w:rsid w:val="4EAB630A"/>
    <w:rsid w:val="4ECE2238"/>
    <w:rsid w:val="500B7741"/>
    <w:rsid w:val="50AE0105"/>
    <w:rsid w:val="55E53867"/>
    <w:rsid w:val="55FB558D"/>
    <w:rsid w:val="587A472C"/>
    <w:rsid w:val="5AF92295"/>
    <w:rsid w:val="5CD71FC4"/>
    <w:rsid w:val="5D040332"/>
    <w:rsid w:val="5FFB120F"/>
    <w:rsid w:val="61237919"/>
    <w:rsid w:val="628821E9"/>
    <w:rsid w:val="640C5837"/>
    <w:rsid w:val="646E3898"/>
    <w:rsid w:val="67DE5AE3"/>
    <w:rsid w:val="68AD23D3"/>
    <w:rsid w:val="6A0F7ED5"/>
    <w:rsid w:val="6A707D9F"/>
    <w:rsid w:val="6C4A05C8"/>
    <w:rsid w:val="6D592DC5"/>
    <w:rsid w:val="6E7E3605"/>
    <w:rsid w:val="6FF5CC65"/>
    <w:rsid w:val="715C0E4B"/>
    <w:rsid w:val="72577953"/>
    <w:rsid w:val="72734D90"/>
    <w:rsid w:val="73AD73D5"/>
    <w:rsid w:val="73B6EB34"/>
    <w:rsid w:val="741152B9"/>
    <w:rsid w:val="74290D15"/>
    <w:rsid w:val="75134281"/>
    <w:rsid w:val="758244BD"/>
    <w:rsid w:val="76CB3638"/>
    <w:rsid w:val="79EE5BA4"/>
    <w:rsid w:val="7A894339"/>
    <w:rsid w:val="7D3F1C15"/>
    <w:rsid w:val="7EEF11D3"/>
    <w:rsid w:val="7FA30C79"/>
    <w:rsid w:val="7FC96657"/>
    <w:rsid w:val="D8D6DB89"/>
    <w:rsid w:val="DB6F4CAB"/>
    <w:rsid w:val="DF6F9789"/>
    <w:rsid w:val="F7FBB7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paragraph" w:customStyle="1" w:styleId="17">
    <w:name w:val="正文2"/>
    <w:next w:val="1"/>
    <w:qFormat/>
    <w:uiPriority w:val="0"/>
    <w:rPr>
      <w:rFonts w:ascii="仿宋_GB2312" w:hAnsi="Calibri" w:eastAsia="仿宋_GB2312" w:cs="黑体"/>
      <w:sz w:val="32"/>
      <w:szCs w:val="22"/>
      <w:lang w:val="en-US" w:eastAsia="zh-CN"/>
    </w:rPr>
  </w:style>
  <w:style w:type="character" w:customStyle="1" w:styleId="18">
    <w:name w:val="Header Char"/>
    <w:basedOn w:val="13"/>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3"/>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3"/>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3"/>
    <w:link w:val="3"/>
    <w:qFormat/>
    <w:uiPriority w:val="9"/>
    <w:rPr>
      <w:rFonts w:ascii="Times New Roman" w:hAnsi="Times New Roman"/>
      <w:b/>
      <w:bCs/>
      <w:kern w:val="44"/>
      <w:sz w:val="44"/>
      <w:szCs w:val="44"/>
    </w:rPr>
  </w:style>
  <w:style w:type="character" w:customStyle="1" w:styleId="27">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3"/>
    <w:link w:val="7"/>
    <w:semiHidden/>
    <w:qFormat/>
    <w:uiPriority w:val="99"/>
    <w:rPr>
      <w:rFonts w:ascii="Times New Roman" w:hAnsi="Times New Roman"/>
      <w:kern w:val="2"/>
      <w:sz w:val="18"/>
      <w:szCs w:val="18"/>
    </w:rPr>
  </w:style>
  <w:style w:type="character" w:customStyle="1" w:styleId="30">
    <w:name w:val="标题 3 Char"/>
    <w:basedOn w:val="13"/>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 w:type="paragraph" w:customStyle="1" w:styleId="3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图1：收、支决算总计变动情况图        </a:t>
            </a:r>
          </a:p>
          <a:p>
            <a:pPr defTabSz="914400">
              <a:defRPr lang="zh-CN" sz="1400" b="0" i="0" u="none" strike="noStrike" kern="1200" spc="0" baseline="0">
                <a:solidFill>
                  <a:schemeClr val="tx1">
                    <a:lumMod val="65000"/>
                    <a:lumOff val="35000"/>
                  </a:schemeClr>
                </a:solidFill>
                <a:latin typeface="+mn-lt"/>
                <a:ea typeface="+mn-ea"/>
                <a:cs typeface="+mn-cs"/>
              </a:defRPr>
            </a:pPr>
            <a:r>
              <a:t>                                          单位：万元     </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[工作簿1]Sheet1!$A$2:$B$2</c:f>
              <c:strCache>
                <c:ptCount val="2"/>
                <c:pt idx="0">
                  <c:v>2021年</c:v>
                </c:pt>
                <c:pt idx="1">
                  <c:v>2020年</c:v>
                </c:pt>
              </c:strCache>
            </c:strRef>
          </c:cat>
          <c:val>
            <c:numRef>
              <c:f>[工作簿1]Sheet1!$A$3:$B$3</c:f>
              <c:numCache>
                <c:formatCode>#,##0.00</c:formatCode>
                <c:ptCount val="2"/>
                <c:pt idx="0">
                  <c:v>4309.56</c:v>
                </c:pt>
                <c:pt idx="1">
                  <c:v>22168.18</c:v>
                </c:pt>
              </c:numCache>
            </c:numRef>
          </c:val>
        </c:ser>
        <c:dLbls>
          <c:showLegendKey val="0"/>
          <c:showVal val="1"/>
          <c:showCatName val="0"/>
          <c:showSerName val="0"/>
          <c:showPercent val="0"/>
          <c:showBubbleSize val="0"/>
        </c:dLbls>
        <c:gapWidth val="219"/>
        <c:overlap val="-27"/>
        <c:axId val="486576497"/>
        <c:axId val="489502315"/>
      </c:barChart>
      <c:catAx>
        <c:axId val="4865764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9502315"/>
        <c:crosses val="autoZero"/>
        <c:auto val="1"/>
        <c:lblAlgn val="ctr"/>
        <c:lblOffset val="100"/>
        <c:noMultiLvlLbl val="0"/>
      </c:catAx>
      <c:valAx>
        <c:axId val="4895023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657649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图2：收入决算结构图 </a:t>
            </a:r>
          </a:p>
        </c:rich>
      </c:tx>
      <c:layout/>
      <c:overlay val="0"/>
      <c:spPr>
        <a:noFill/>
        <a:ln>
          <a:noFill/>
        </a:ln>
        <a:effectLst/>
      </c:spPr>
    </c:title>
    <c:autoTitleDeleted val="0"/>
    <c:plotArea>
      <c:layout/>
      <c:pieChart>
        <c:varyColors val="1"/>
        <c:ser>
          <c:idx val="0"/>
          <c:order val="0"/>
          <c:tx>
            <c:strRef>
              <c:f>[工作簿1]Sheet1!$A$22:$A$24</c:f>
              <c:strCache>
                <c:ptCount val="1"/>
                <c:pt idx="0">
                  <c:v>图2：收入决算结构图 一般公共预算拨款收入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{"一般公共预算拨款收入"}</c:f>
              <c:strCache>
                <c:ptCount val="1"/>
                <c:pt idx="0">
                  <c:v>一般公共预算拨款收入</c:v>
                </c:pt>
              </c:strCache>
            </c:strRef>
          </c:cat>
          <c:val>
            <c:numRef>
              <c:f>[工作簿1]Sheet1!$A$25:$A$26</c:f>
              <c:numCache>
                <c:formatCode>0%</c:formatCode>
                <c:ptCount val="2"/>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1"/>
        <c:delete val="1"/>
      </c:legendEntry>
      <c:layout>
        <c:manualLayout>
          <c:xMode val="edge"/>
          <c:yMode val="edge"/>
          <c:x val="0.250625"/>
          <c:y val="0.83217592592592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图3：支出决算结构图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[工作簿1]Sheet1!$A$49:$B$51</c15:sqref>
                  </c15:fullRef>
                  <c15:levelRef>
                    <c15:sqref>[工作簿1]Sheet1!$A$51:$B$51</c15:sqref>
                  </c15:levelRef>
                </c:ext>
              </c:extLst>
              <c:f>[工作簿1]Sheet1!$A$51:$B$51</c:f>
              <c:strCache>
                <c:ptCount val="2"/>
                <c:pt idx="0">
                  <c:v>基本支出</c:v>
                </c:pt>
                <c:pt idx="1">
                  <c:v>项目支出</c:v>
                </c:pt>
              </c:strCache>
            </c:strRef>
          </c:cat>
          <c:val>
            <c:numRef>
              <c:f>[工作簿1]Sheet1!$A$52:$B$52</c:f>
              <c:numCache>
                <c:formatCode>0.00%</c:formatCode>
                <c:ptCount val="2"/>
                <c:pt idx="0">
                  <c:v>0.7174</c:v>
                </c:pt>
                <c:pt idx="1">
                  <c:v>0.2826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图4：财政拨款收、支决算总计变动情况        </a:t>
            </a:r>
          </a:p>
          <a:p>
            <a:pPr defTabSz="914400">
              <a:defRPr lang="zh-CN" sz="1400" b="0" i="0" u="none" strike="noStrike" kern="1200" spc="0" baseline="0">
                <a:solidFill>
                  <a:schemeClr val="tx1">
                    <a:lumMod val="65000"/>
                    <a:lumOff val="35000"/>
                  </a:schemeClr>
                </a:solidFill>
                <a:latin typeface="+mn-lt"/>
                <a:ea typeface="+mn-ea"/>
                <a:cs typeface="+mn-cs"/>
              </a:defRPr>
            </a:pPr>
            <a:r>
              <a:t>                                          单位：万元     </a:t>
            </a:r>
          </a:p>
        </c:rich>
      </c:tx>
      <c:layout>
        <c:manualLayout>
          <c:xMode val="edge"/>
          <c:yMode val="edge"/>
          <c:x val="0.210138888888889"/>
          <c:y val="0.0243055555555556"/>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[工作簿1]Sheet1!$A$2:$B$2</c:f>
              <c:strCache>
                <c:ptCount val="2"/>
                <c:pt idx="0">
                  <c:v>2021年</c:v>
                </c:pt>
                <c:pt idx="1">
                  <c:v>2020年</c:v>
                </c:pt>
              </c:strCache>
            </c:strRef>
          </c:cat>
          <c:val>
            <c:numRef>
              <c:f>[工作簿1]Sheet1!$A$3:$B$3</c:f>
              <c:numCache>
                <c:formatCode>#,##0.00</c:formatCode>
                <c:ptCount val="2"/>
                <c:pt idx="0">
                  <c:v>4309.56</c:v>
                </c:pt>
                <c:pt idx="1">
                  <c:v>22168.18</c:v>
                </c:pt>
              </c:numCache>
            </c:numRef>
          </c:val>
        </c:ser>
        <c:dLbls>
          <c:showLegendKey val="0"/>
          <c:showVal val="1"/>
          <c:showCatName val="0"/>
          <c:showSerName val="0"/>
          <c:showPercent val="0"/>
          <c:showBubbleSize val="0"/>
        </c:dLbls>
        <c:gapWidth val="219"/>
        <c:overlap val="-27"/>
        <c:axId val="486576497"/>
        <c:axId val="489502315"/>
      </c:barChart>
      <c:catAx>
        <c:axId val="4865764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9502315"/>
        <c:crosses val="autoZero"/>
        <c:auto val="1"/>
        <c:lblAlgn val="ctr"/>
        <c:lblOffset val="100"/>
        <c:noMultiLvlLbl val="0"/>
      </c:catAx>
      <c:valAx>
        <c:axId val="4895023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657649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图5：一般公共预算财政拨款支出决算</a:t>
            </a:r>
          </a:p>
          <a:p>
            <a:pPr defTabSz="914400">
              <a:defRPr lang="zh-CN" sz="1400" b="0" i="0" u="none" strike="noStrike" kern="1200" spc="0" baseline="0">
                <a:solidFill>
                  <a:schemeClr val="tx1">
                    <a:lumMod val="65000"/>
                    <a:lumOff val="35000"/>
                  </a:schemeClr>
                </a:solidFill>
                <a:latin typeface="+mn-lt"/>
                <a:ea typeface="+mn-ea"/>
                <a:cs typeface="+mn-cs"/>
              </a:defRPr>
            </a:pPr>
            <a:r>
              <a:t>    变动情况                                                                       单位：万元</a:t>
            </a:r>
          </a:p>
        </c:rich>
      </c:tx>
      <c:layout>
        <c:manualLayout>
          <c:xMode val="edge"/>
          <c:yMode val="edge"/>
          <c:x val="0.110833333333333"/>
          <c:y val="0.0381944444444444"/>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[工作簿1]Sheet1!$A$97:$B$97</c:f>
              <c:strCache>
                <c:ptCount val="2"/>
                <c:pt idx="0">
                  <c:v>2021年</c:v>
                </c:pt>
                <c:pt idx="1">
                  <c:v>2020年</c:v>
                </c:pt>
              </c:strCache>
            </c:strRef>
          </c:cat>
          <c:val>
            <c:numRef>
              <c:f>[工作簿1]Sheet1!$A$98:$B$98</c:f>
              <c:numCache>
                <c:formatCode>General</c:formatCode>
                <c:ptCount val="2"/>
                <c:pt idx="0">
                  <c:v>3860.54</c:v>
                </c:pt>
                <c:pt idx="1">
                  <c:v>3302.09</c:v>
                </c:pt>
              </c:numCache>
            </c:numRef>
          </c:val>
        </c:ser>
        <c:dLbls>
          <c:showLegendKey val="0"/>
          <c:showVal val="1"/>
          <c:showCatName val="0"/>
          <c:showSerName val="0"/>
          <c:showPercent val="0"/>
          <c:showBubbleSize val="0"/>
        </c:dLbls>
        <c:gapWidth val="219"/>
        <c:overlap val="-27"/>
        <c:axId val="705124205"/>
        <c:axId val="613495292"/>
      </c:barChart>
      <c:catAx>
        <c:axId val="70512420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3495292"/>
        <c:crosses val="autoZero"/>
        <c:auto val="1"/>
        <c:lblAlgn val="ctr"/>
        <c:lblOffset val="100"/>
        <c:noMultiLvlLbl val="0"/>
      </c:catAx>
      <c:valAx>
        <c:axId val="6134952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512420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图6：一般公共预算财政拨款支出决算结构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[工作簿1]Sheet1!$A$119:$E$119</c:f>
              <c:strCache>
                <c:ptCount val="5"/>
                <c:pt idx="0">
                  <c:v>社会保障和就业（类）支出</c:v>
                </c:pt>
                <c:pt idx="1">
                  <c:v>卫生健康支出</c:v>
                </c:pt>
                <c:pt idx="2">
                  <c:v>农林水支出（类）</c:v>
                </c:pt>
                <c:pt idx="3">
                  <c:v>住房保障支出</c:v>
                </c:pt>
                <c:pt idx="4">
                  <c:v>其他支出（类）</c:v>
                </c:pt>
              </c:strCache>
            </c:strRef>
          </c:cat>
          <c:val>
            <c:numRef>
              <c:f>[工作簿1]Sheet1!$A$120:$E$120</c:f>
              <c:numCache>
                <c:formatCode>0.00%</c:formatCode>
                <c:ptCount val="5"/>
                <c:pt idx="0">
                  <c:v>0.0799</c:v>
                </c:pt>
                <c:pt idx="1">
                  <c:v>0.0225</c:v>
                </c:pt>
                <c:pt idx="2">
                  <c:v>0.7439</c:v>
                </c:pt>
                <c:pt idx="3">
                  <c:v>0.0242</c:v>
                </c:pt>
                <c:pt idx="4">
                  <c:v>0.1295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图7：“三公”经费财政拨款支出结构</a:t>
            </a:r>
          </a:p>
        </c:rich>
      </c:tx>
      <c:layout/>
      <c:overlay val="0"/>
      <c:spPr>
        <a:noFill/>
        <a:ln>
          <a:noFill/>
        </a:ln>
        <a:effectLst/>
      </c:spPr>
    </c:title>
    <c:autoTitleDeleted val="0"/>
    <c:plotArea>
      <c:layout/>
      <c:pieChart>
        <c:varyColors val="1"/>
        <c:ser>
          <c:idx val="0"/>
          <c:order val="0"/>
          <c:tx>
            <c:strRef>
              <c:f>[工作簿1]Sheet1!$A$25</c:f>
              <c:strCache>
                <c:ptCount val="1"/>
                <c:pt idx="0">
                  <c:v>0&amp;</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[工作簿1]Sheet1!$B$22:$C$24</c:f>
              <c:multiLvlStrCache>
                <c:ptCount val="2"/>
                <c:lvl>
                  <c:pt idx="0">
                    <c:v>公务用车购置及运行维护费</c:v>
                  </c:pt>
                  <c:pt idx="1">
                    <c:v>公务接待费</c:v>
                  </c:pt>
                </c:lvl>
                <c:lvl/>
                <c:lvl/>
              </c:multiLvlStrCache>
            </c:multiLvlStrRef>
          </c:cat>
          <c:val>
            <c:numRef>
              <c:f>[工作簿1]Sheet1!$B$25:$C$25</c:f>
              <c:numCache>
                <c:formatCode>0.00%</c:formatCode>
                <c:ptCount val="2"/>
                <c:pt idx="0">
                  <c:v>0.9544</c:v>
                </c:pt>
                <c:pt idx="1">
                  <c:v>0.0456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c9abb71-6b2e-472b-9212-e9de26d03038}"/>
        <w:style w:val=""/>
        <w:category>
          <w:name w:val="常规"/>
          <w:gallery w:val="placeholder"/>
        </w:category>
        <w:types>
          <w:type w:val="bbPlcHdr"/>
        </w:types>
        <w:behaviors>
          <w:behavior w:val="content"/>
        </w:behaviors>
        <w:description w:val=""/>
        <w:guid w:val="{4c9abb71-6b2e-472b-9212-e9de26d03038}"/>
      </w:docPartPr>
      <w:docPartBody>
        <w:p>
          <w:r>
            <w:rPr>
              <w:color w:val="808080"/>
            </w:rPr>
            <w:t>单击此处输入文字。</w:t>
          </w:r>
        </w:p>
      </w:docPartBody>
    </w:docPart>
    <w:docPart>
      <w:docPartPr>
        <w:name w:val="{9ee4b8eb-1412-4e58-8a27-19c1b10be1a3}"/>
        <w:style w:val=""/>
        <w:category>
          <w:name w:val="常规"/>
          <w:gallery w:val="placeholder"/>
        </w:category>
        <w:types>
          <w:type w:val="bbPlcHdr"/>
        </w:types>
        <w:behaviors>
          <w:behavior w:val="content"/>
        </w:behaviors>
        <w:description w:val=""/>
        <w:guid w:val="{9ee4b8eb-1412-4e58-8a27-19c1b10be1a3}"/>
      </w:docPartPr>
      <w:docPartBody>
        <w:p>
          <w:r>
            <w:rPr>
              <w:color w:val="808080"/>
            </w:rPr>
            <w:t>单击此处输入文字。</w:t>
          </w:r>
        </w:p>
      </w:docPartBody>
    </w:docPart>
    <w:docPart>
      <w:docPartPr>
        <w:name w:val="{3cc842fb-0074-4444-b448-41d6185fe1bc}"/>
        <w:style w:val=""/>
        <w:category>
          <w:name w:val="常规"/>
          <w:gallery w:val="placeholder"/>
        </w:category>
        <w:types>
          <w:type w:val="bbPlcHdr"/>
        </w:types>
        <w:behaviors>
          <w:behavior w:val="content"/>
        </w:behaviors>
        <w:description w:val=""/>
        <w:guid w:val="{3cc842fb-0074-4444-b448-41d6185fe1bc}"/>
      </w:docPartPr>
      <w:docPartBody>
        <w:p>
          <w:r>
            <w:rPr>
              <w:color w:val="808080"/>
            </w:rPr>
            <w:t>单击此处输入文字。</w:t>
          </w:r>
        </w:p>
      </w:docPartBody>
    </w:docPart>
    <w:docPart>
      <w:docPartPr>
        <w:name w:val="{9fff26c1-df8f-46b4-8df5-dff1202f8f8c}"/>
        <w:style w:val=""/>
        <w:category>
          <w:name w:val="常规"/>
          <w:gallery w:val="placeholder"/>
        </w:category>
        <w:types>
          <w:type w:val="bbPlcHdr"/>
        </w:types>
        <w:behaviors>
          <w:behavior w:val="content"/>
        </w:behaviors>
        <w:description w:val=""/>
        <w:guid w:val="{9fff26c1-df8f-46b4-8df5-dff1202f8f8c}"/>
      </w:docPartPr>
      <w:docPartBody>
        <w:p>
          <w:r>
            <w:rPr>
              <w:color w:val="808080"/>
            </w:rPr>
            <w:t>单击此处输入文字。</w:t>
          </w:r>
        </w:p>
      </w:docPartBody>
    </w:docPart>
    <w:docPart>
      <w:docPartPr>
        <w:name w:val="{df9eefcc-74e5-4d42-b93f-33a807491c6f}"/>
        <w:style w:val=""/>
        <w:category>
          <w:name w:val="常规"/>
          <w:gallery w:val="placeholder"/>
        </w:category>
        <w:types>
          <w:type w:val="bbPlcHdr"/>
        </w:types>
        <w:behaviors>
          <w:behavior w:val="content"/>
        </w:behaviors>
        <w:description w:val=""/>
        <w:guid w:val="{df9eefcc-74e5-4d42-b93f-33a807491c6f}"/>
      </w:docPartPr>
      <w:docPartBody>
        <w:p>
          <w:r>
            <w:rPr>
              <w:color w:val="808080"/>
            </w:rPr>
            <w:t>单击此处输入文字。</w:t>
          </w:r>
        </w:p>
      </w:docPartBody>
    </w:docPart>
    <w:docPart>
      <w:docPartPr>
        <w:name w:val="{156830a1-060c-411d-a060-515387a259be}"/>
        <w:style w:val=""/>
        <w:category>
          <w:name w:val="常规"/>
          <w:gallery w:val="placeholder"/>
        </w:category>
        <w:types>
          <w:type w:val="bbPlcHdr"/>
        </w:types>
        <w:behaviors>
          <w:behavior w:val="content"/>
        </w:behaviors>
        <w:description w:val=""/>
        <w:guid w:val="{156830a1-060c-411d-a060-515387a259be}"/>
      </w:docPartPr>
      <w:docPartBody>
        <w:p>
          <w:r>
            <w:rPr>
              <w:color w:val="808080"/>
            </w:rPr>
            <w:t>单击此处输入文字。</w:t>
          </w:r>
        </w:p>
      </w:docPartBody>
    </w:docPart>
    <w:docPart>
      <w:docPartPr>
        <w:name w:val="{924aa230-8ae3-44a4-8cbd-f159a5f055a9}"/>
        <w:style w:val=""/>
        <w:category>
          <w:name w:val="常规"/>
          <w:gallery w:val="placeholder"/>
        </w:category>
        <w:types>
          <w:type w:val="bbPlcHdr"/>
        </w:types>
        <w:behaviors>
          <w:behavior w:val="content"/>
        </w:behaviors>
        <w:description w:val=""/>
        <w:guid w:val="{924aa230-8ae3-44a4-8cbd-f159a5f055a9}"/>
      </w:docPartPr>
      <w:docPartBody>
        <w:p>
          <w:r>
            <w:rPr>
              <w:color w:val="808080"/>
            </w:rPr>
            <w:t>单击此处输入文字。</w:t>
          </w:r>
        </w:p>
      </w:docPartBody>
    </w:docPart>
    <w:docPart>
      <w:docPartPr>
        <w:name w:val="{cdbd17c8-88f5-4fd9-aebd-5a267e11b26f}"/>
        <w:style w:val=""/>
        <w:category>
          <w:name w:val="常规"/>
          <w:gallery w:val="placeholder"/>
        </w:category>
        <w:types>
          <w:type w:val="bbPlcHdr"/>
        </w:types>
        <w:behaviors>
          <w:behavior w:val="content"/>
        </w:behaviors>
        <w:description w:val=""/>
        <w:guid w:val="{cdbd17c8-88f5-4fd9-aebd-5a267e11b26f}"/>
      </w:docPartPr>
      <w:docPartBody>
        <w:p>
          <w:r>
            <w:rPr>
              <w:color w:val="808080"/>
            </w:rPr>
            <w:t>单击此处输入文字。</w:t>
          </w:r>
        </w:p>
      </w:docPartBody>
    </w:docPart>
    <w:docPart>
      <w:docPartPr>
        <w:name w:val="{5c675590-b880-40e8-87b2-64a16fb30578}"/>
        <w:style w:val=""/>
        <w:category>
          <w:name w:val="常规"/>
          <w:gallery w:val="placeholder"/>
        </w:category>
        <w:types>
          <w:type w:val="bbPlcHdr"/>
        </w:types>
        <w:behaviors>
          <w:behavior w:val="content"/>
        </w:behaviors>
        <w:description w:val=""/>
        <w:guid w:val="{5c675590-b880-40e8-87b2-64a16fb30578}"/>
      </w:docPartPr>
      <w:docPartBody>
        <w:p>
          <w:r>
            <w:rPr>
              <w:color w:val="808080"/>
            </w:rPr>
            <w:t>单击此处输入文字。</w:t>
          </w:r>
        </w:p>
      </w:docPartBody>
    </w:docPart>
    <w:docPart>
      <w:docPartPr>
        <w:name w:val="{ae53d68a-ea91-42ac-b807-d8bf87f7805a}"/>
        <w:style w:val=""/>
        <w:category>
          <w:name w:val="常规"/>
          <w:gallery w:val="placeholder"/>
        </w:category>
        <w:types>
          <w:type w:val="bbPlcHdr"/>
        </w:types>
        <w:behaviors>
          <w:behavior w:val="content"/>
        </w:behaviors>
        <w:description w:val=""/>
        <w:guid w:val="{ae53d68a-ea91-42ac-b807-d8bf87f7805a}"/>
      </w:docPartPr>
      <w:docPartBody>
        <w:p>
          <w:r>
            <w:rPr>
              <w:color w:val="808080"/>
            </w:rPr>
            <w:t>单击此处输入文字。</w:t>
          </w:r>
        </w:p>
      </w:docPartBody>
    </w:docPart>
    <w:docPart>
      <w:docPartPr>
        <w:name w:val="{18d7a83d-06f2-4750-b6c9-929089da0dec}"/>
        <w:style w:val=""/>
        <w:category>
          <w:name w:val="常规"/>
          <w:gallery w:val="placeholder"/>
        </w:category>
        <w:types>
          <w:type w:val="bbPlcHdr"/>
        </w:types>
        <w:behaviors>
          <w:behavior w:val="content"/>
        </w:behaviors>
        <w:description w:val=""/>
        <w:guid w:val="{18d7a83d-06f2-4750-b6c9-929089da0dec}"/>
      </w:docPartPr>
      <w:docPartBody>
        <w:p>
          <w:r>
            <w:rPr>
              <w:color w:val="808080"/>
            </w:rPr>
            <w:t>单击此处输入文字。</w:t>
          </w:r>
        </w:p>
      </w:docPartBody>
    </w:docPart>
    <w:docPart>
      <w:docPartPr>
        <w:name w:val="{82775324-32fb-48a1-b305-1422a19965e2}"/>
        <w:style w:val=""/>
        <w:category>
          <w:name w:val="常规"/>
          <w:gallery w:val="placeholder"/>
        </w:category>
        <w:types>
          <w:type w:val="bbPlcHdr"/>
        </w:types>
        <w:behaviors>
          <w:behavior w:val="content"/>
        </w:behaviors>
        <w:description w:val=""/>
        <w:guid w:val="{82775324-32fb-48a1-b305-1422a19965e2}"/>
      </w:docPartPr>
      <w:docPartBody>
        <w:p>
          <w:r>
            <w:rPr>
              <w:color w:val="808080"/>
            </w:rPr>
            <w:t>单击此处输入文字。</w:t>
          </w:r>
        </w:p>
      </w:docPartBody>
    </w:docPart>
    <w:docPart>
      <w:docPartPr>
        <w:name w:val="{dec555d5-cd4c-4738-ae2e-0adca236628a}"/>
        <w:style w:val=""/>
        <w:category>
          <w:name w:val="常规"/>
          <w:gallery w:val="placeholder"/>
        </w:category>
        <w:types>
          <w:type w:val="bbPlcHdr"/>
        </w:types>
        <w:behaviors>
          <w:behavior w:val="content"/>
        </w:behaviors>
        <w:description w:val=""/>
        <w:guid w:val="{dec555d5-cd4c-4738-ae2e-0adca236628a}"/>
      </w:docPartPr>
      <w:docPartBody>
        <w:p>
          <w:r>
            <w:rPr>
              <w:color w:val="808080"/>
            </w:rPr>
            <w:t>单击此处输入文字。</w:t>
          </w:r>
        </w:p>
      </w:docPartBody>
    </w:docPart>
    <w:docPart>
      <w:docPartPr>
        <w:name w:val="{94308e7f-6e31-4626-9b79-777977acf404}"/>
        <w:style w:val=""/>
        <w:category>
          <w:name w:val="常规"/>
          <w:gallery w:val="placeholder"/>
        </w:category>
        <w:types>
          <w:type w:val="bbPlcHdr"/>
        </w:types>
        <w:behaviors>
          <w:behavior w:val="content"/>
        </w:behaviors>
        <w:description w:val=""/>
        <w:guid w:val="{94308e7f-6e31-4626-9b79-777977acf404}"/>
      </w:docPartPr>
      <w:docPartBody>
        <w:p>
          <w:r>
            <w:rPr>
              <w:color w:val="808080"/>
            </w:rPr>
            <w:t>单击此处输入文字。</w:t>
          </w:r>
        </w:p>
      </w:docPartBody>
    </w:docPart>
    <w:docPart>
      <w:docPartPr>
        <w:name w:val="{92444e3e-e5a9-480a-a0be-585b37222198}"/>
        <w:style w:val=""/>
        <w:category>
          <w:name w:val="常规"/>
          <w:gallery w:val="placeholder"/>
        </w:category>
        <w:types>
          <w:type w:val="bbPlcHdr"/>
        </w:types>
        <w:behaviors>
          <w:behavior w:val="content"/>
        </w:behaviors>
        <w:description w:val=""/>
        <w:guid w:val="{92444e3e-e5a9-480a-a0be-585b37222198}"/>
      </w:docPartPr>
      <w:docPartBody>
        <w:p>
          <w:r>
            <w:rPr>
              <w:color w:val="808080"/>
            </w:rPr>
            <w:t>单击此处输入文字。</w:t>
          </w:r>
        </w:p>
      </w:docPartBody>
    </w:docPart>
    <w:docPart>
      <w:docPartPr>
        <w:name w:val="{d4f0e336-682b-4790-a425-dd06a80c711e}"/>
        <w:style w:val=""/>
        <w:category>
          <w:name w:val="常规"/>
          <w:gallery w:val="placeholder"/>
        </w:category>
        <w:types>
          <w:type w:val="bbPlcHdr"/>
        </w:types>
        <w:behaviors>
          <w:behavior w:val="content"/>
        </w:behaviors>
        <w:description w:val=""/>
        <w:guid w:val="{d4f0e336-682b-4790-a425-dd06a80c711e}"/>
      </w:docPartPr>
      <w:docPartBody>
        <w:p>
          <w:r>
            <w:rPr>
              <w:color w:val="808080"/>
            </w:rPr>
            <w:t>单击此处输入文字。</w:t>
          </w:r>
        </w:p>
      </w:docPartBody>
    </w:docPart>
    <w:docPart>
      <w:docPartPr>
        <w:name w:val="{1b6e15f7-8a6e-4ff6-aaeb-97c653aff4df}"/>
        <w:style w:val=""/>
        <w:category>
          <w:name w:val="常规"/>
          <w:gallery w:val="placeholder"/>
        </w:category>
        <w:types>
          <w:type w:val="bbPlcHdr"/>
        </w:types>
        <w:behaviors>
          <w:behavior w:val="content"/>
        </w:behaviors>
        <w:description w:val=""/>
        <w:guid w:val="{1b6e15f7-8a6e-4ff6-aaeb-97c653aff4df}"/>
      </w:docPartPr>
      <w:docPartBody>
        <w:p>
          <w:r>
            <w:rPr>
              <w:color w:val="808080"/>
            </w:rPr>
            <w:t>单击此处输入文字。</w:t>
          </w:r>
        </w:p>
      </w:docPartBody>
    </w:docPart>
    <w:docPart>
      <w:docPartPr>
        <w:name w:val="{d05e3dc7-97fa-47b7-abc7-295326dfe319}"/>
        <w:style w:val=""/>
        <w:category>
          <w:name w:val="常规"/>
          <w:gallery w:val="placeholder"/>
        </w:category>
        <w:types>
          <w:type w:val="bbPlcHdr"/>
        </w:types>
        <w:behaviors>
          <w:behavior w:val="content"/>
        </w:behaviors>
        <w:description w:val=""/>
        <w:guid w:val="{d05e3dc7-97fa-47b7-abc7-295326dfe319}"/>
      </w:docPartPr>
      <w:docPartBody>
        <w:p>
          <w:r>
            <w:rPr>
              <w:color w:val="808080"/>
            </w:rPr>
            <w:t>单击此处输入文字。</w:t>
          </w:r>
        </w:p>
      </w:docPartBody>
    </w:docPart>
    <w:docPart>
      <w:docPartPr>
        <w:name w:val="{96e37fa2-edf2-4677-857a-14579a55fdc1}"/>
        <w:style w:val=""/>
        <w:category>
          <w:name w:val="常规"/>
          <w:gallery w:val="placeholder"/>
        </w:category>
        <w:types>
          <w:type w:val="bbPlcHdr"/>
        </w:types>
        <w:behaviors>
          <w:behavior w:val="content"/>
        </w:behaviors>
        <w:description w:val=""/>
        <w:guid w:val="{96e37fa2-edf2-4677-857a-14579a55fdc1}"/>
      </w:docPartPr>
      <w:docPartBody>
        <w:p>
          <w:r>
            <w:rPr>
              <w:color w:val="808080"/>
            </w:rPr>
            <w:t>单击此处输入文字。</w:t>
          </w:r>
        </w:p>
      </w:docPartBody>
    </w:docPart>
    <w:docPart>
      <w:docPartPr>
        <w:name w:val="{796b8bdb-3d92-48fa-b269-ed88e0a5de1b}"/>
        <w:style w:val=""/>
        <w:category>
          <w:name w:val="常规"/>
          <w:gallery w:val="placeholder"/>
        </w:category>
        <w:types>
          <w:type w:val="bbPlcHdr"/>
        </w:types>
        <w:behaviors>
          <w:behavior w:val="content"/>
        </w:behaviors>
        <w:description w:val=""/>
        <w:guid w:val="{796b8bdb-3d92-48fa-b269-ed88e0a5de1b}"/>
      </w:docPartPr>
      <w:docPartBody>
        <w:p>
          <w:r>
            <w:rPr>
              <w:color w:val="808080"/>
            </w:rPr>
            <w:t>单击此处输入文字。</w:t>
          </w:r>
        </w:p>
      </w:docPartBody>
    </w:docPart>
    <w:docPart>
      <w:docPartPr>
        <w:name w:val="{2be05749-eda4-426a-816e-b8092f3bf868}"/>
        <w:style w:val=""/>
        <w:category>
          <w:name w:val="常规"/>
          <w:gallery w:val="placeholder"/>
        </w:category>
        <w:types>
          <w:type w:val="bbPlcHdr"/>
        </w:types>
        <w:behaviors>
          <w:behavior w:val="content"/>
        </w:behaviors>
        <w:description w:val=""/>
        <w:guid w:val="{2be05749-eda4-426a-816e-b8092f3bf868}"/>
      </w:docPartPr>
      <w:docPartBody>
        <w:p>
          <w:r>
            <w:rPr>
              <w:color w:val="808080"/>
            </w:rPr>
            <w:t>单击此处输入文字。</w:t>
          </w:r>
        </w:p>
      </w:docPartBody>
    </w:docPart>
    <w:docPart>
      <w:docPartPr>
        <w:name w:val="{4688a16a-67bf-447f-a41a-b316d7c40742}"/>
        <w:style w:val=""/>
        <w:category>
          <w:name w:val="常规"/>
          <w:gallery w:val="placeholder"/>
        </w:category>
        <w:types>
          <w:type w:val="bbPlcHdr"/>
        </w:types>
        <w:behaviors>
          <w:behavior w:val="content"/>
        </w:behaviors>
        <w:description w:val=""/>
        <w:guid w:val="{4688a16a-67bf-447f-a41a-b316d7c40742}"/>
      </w:docPartPr>
      <w:docPartBody>
        <w:p>
          <w:r>
            <w:rPr>
              <w:color w:val="808080"/>
            </w:rPr>
            <w:t>单击此处输入文字。</w:t>
          </w:r>
        </w:p>
      </w:docPartBody>
    </w:docPart>
    <w:docPart>
      <w:docPartPr>
        <w:name w:val="{2885d9b8-9af6-4dd5-bf71-dfc759dd359e}"/>
        <w:style w:val=""/>
        <w:category>
          <w:name w:val="常规"/>
          <w:gallery w:val="placeholder"/>
        </w:category>
        <w:types>
          <w:type w:val="bbPlcHdr"/>
        </w:types>
        <w:behaviors>
          <w:behavior w:val="content"/>
        </w:behaviors>
        <w:description w:val=""/>
        <w:guid w:val="{2885d9b8-9af6-4dd5-bf71-dfc759dd359e}"/>
      </w:docPartPr>
      <w:docPartBody>
        <w:p>
          <w:r>
            <w:rPr>
              <w:color w:val="808080"/>
            </w:rPr>
            <w:t>单击此处输入文字。</w:t>
          </w:r>
        </w:p>
      </w:docPartBody>
    </w:docPart>
    <w:docPart>
      <w:docPartPr>
        <w:name w:val="{5d1f3010-b6c8-49ba-82bf-c7948d3a8e1c}"/>
        <w:style w:val=""/>
        <w:category>
          <w:name w:val="常规"/>
          <w:gallery w:val="placeholder"/>
        </w:category>
        <w:types>
          <w:type w:val="bbPlcHdr"/>
        </w:types>
        <w:behaviors>
          <w:behavior w:val="content"/>
        </w:behaviors>
        <w:description w:val=""/>
        <w:guid w:val="{5d1f3010-b6c8-49ba-82bf-c7948d3a8e1c}"/>
      </w:docPartPr>
      <w:docPartBody>
        <w:p>
          <w:r>
            <w:rPr>
              <w:color w:val="808080"/>
            </w:rPr>
            <w:t>单击此处输入文字。</w:t>
          </w:r>
        </w:p>
      </w:docPartBody>
    </w:docPart>
    <w:docPart>
      <w:docPartPr>
        <w:name w:val="{6a11143a-5845-44c4-ae5c-f194262495b9}"/>
        <w:style w:val=""/>
        <w:category>
          <w:name w:val="常规"/>
          <w:gallery w:val="placeholder"/>
        </w:category>
        <w:types>
          <w:type w:val="bbPlcHdr"/>
        </w:types>
        <w:behaviors>
          <w:behavior w:val="content"/>
        </w:behaviors>
        <w:description w:val=""/>
        <w:guid w:val="{6a11143a-5845-44c4-ae5c-f194262495b9}"/>
      </w:docPartPr>
      <w:docPartBody>
        <w:p>
          <w:r>
            <w:rPr>
              <w:color w:val="808080"/>
            </w:rPr>
            <w:t>单击此处输入文字。</w:t>
          </w:r>
        </w:p>
      </w:docPartBody>
    </w:docPart>
    <w:docPart>
      <w:docPartPr>
        <w:name w:val="{b2ee5647-38c1-4ed6-83ef-c1d059b68b99}"/>
        <w:style w:val=""/>
        <w:category>
          <w:name w:val="常规"/>
          <w:gallery w:val="placeholder"/>
        </w:category>
        <w:types>
          <w:type w:val="bbPlcHdr"/>
        </w:types>
        <w:behaviors>
          <w:behavior w:val="content"/>
        </w:behaviors>
        <w:description w:val=""/>
        <w:guid w:val="{b2ee5647-38c1-4ed6-83ef-c1d059b68b99}"/>
      </w:docPartPr>
      <w:docPartBody>
        <w:p>
          <w:r>
            <w:rPr>
              <w:color w:val="808080"/>
            </w:rPr>
            <w:t>单击此处输入文字。</w:t>
          </w:r>
        </w:p>
      </w:docPartBody>
    </w:docPart>
    <w:docPart>
      <w:docPartPr>
        <w:name w:val="{df35b989-a0b3-4800-934f-df4b89edda67}"/>
        <w:style w:val=""/>
        <w:category>
          <w:name w:val="常规"/>
          <w:gallery w:val="placeholder"/>
        </w:category>
        <w:types>
          <w:type w:val="bbPlcHdr"/>
        </w:types>
        <w:behaviors>
          <w:behavior w:val="content"/>
        </w:behaviors>
        <w:description w:val=""/>
        <w:guid w:val="{df35b989-a0b3-4800-934f-df4b89edda67}"/>
      </w:docPartPr>
      <w:docPartBody>
        <w:p>
          <w:r>
            <w:rPr>
              <w:color w:val="808080"/>
            </w:rPr>
            <w:t>单击此处输入文字。</w:t>
          </w:r>
        </w:p>
      </w:docPartBody>
    </w:docPart>
    <w:docPart>
      <w:docPartPr>
        <w:name w:val="{f038fae2-16dd-439e-bef6-d08be0942077}"/>
        <w:style w:val=""/>
        <w:category>
          <w:name w:val="常规"/>
          <w:gallery w:val="placeholder"/>
        </w:category>
        <w:types>
          <w:type w:val="bbPlcHdr"/>
        </w:types>
        <w:behaviors>
          <w:behavior w:val="content"/>
        </w:behaviors>
        <w:description w:val=""/>
        <w:guid w:val="{f038fae2-16dd-439e-bef6-d08be0942077}"/>
      </w:docPartPr>
      <w:docPartBody>
        <w:p>
          <w:r>
            <w:rPr>
              <w:color w:val="808080"/>
            </w:rPr>
            <w:t>单击此处输入文字。</w:t>
          </w:r>
        </w:p>
      </w:docPartBody>
    </w:docPart>
    <w:docPart>
      <w:docPartPr>
        <w:name w:val="{2fea747c-af23-48c0-ad19-582bd6c1903f}"/>
        <w:style w:val=""/>
        <w:category>
          <w:name w:val="常规"/>
          <w:gallery w:val="placeholder"/>
        </w:category>
        <w:types>
          <w:type w:val="bbPlcHdr"/>
        </w:types>
        <w:behaviors>
          <w:behavior w:val="content"/>
        </w:behaviors>
        <w:description w:val=""/>
        <w:guid w:val="{2fea747c-af23-48c0-ad19-582bd6c1903f}"/>
      </w:docPartPr>
      <w:docPartBody>
        <w:p>
          <w:r>
            <w:rPr>
              <w:color w:val="808080"/>
            </w:rPr>
            <w:t>单击此处输入文字。</w:t>
          </w:r>
        </w:p>
      </w:docPartBody>
    </w:docPart>
    <w:docPart>
      <w:docPartPr>
        <w:name w:val="{0a517bed-b5d7-4296-be7f-12a10f84349b}"/>
        <w:style w:val=""/>
        <w:category>
          <w:name w:val="常规"/>
          <w:gallery w:val="placeholder"/>
        </w:category>
        <w:types>
          <w:type w:val="bbPlcHdr"/>
        </w:types>
        <w:behaviors>
          <w:behavior w:val="content"/>
        </w:behaviors>
        <w:description w:val=""/>
        <w:guid w:val="{0a517bed-b5d7-4296-be7f-12a10f84349b}"/>
      </w:docPartPr>
      <w:docPartBody>
        <w:p>
          <w:r>
            <w:rPr>
              <w:color w:val="808080"/>
            </w:rPr>
            <w:t>单击此处输入文字。</w:t>
          </w:r>
        </w:p>
      </w:docPartBody>
    </w:docPart>
    <w:docPart>
      <w:docPartPr>
        <w:name w:val="{6256200e-32ff-4eb7-89e6-f4afaca428fc}"/>
        <w:style w:val=""/>
        <w:category>
          <w:name w:val="常规"/>
          <w:gallery w:val="placeholder"/>
        </w:category>
        <w:types>
          <w:type w:val="bbPlcHdr"/>
        </w:types>
        <w:behaviors>
          <w:behavior w:val="content"/>
        </w:behaviors>
        <w:description w:val=""/>
        <w:guid w:val="{6256200e-32ff-4eb7-89e6-f4afaca428f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11669</Words>
  <Characters>12733</Characters>
  <Lines>61</Lines>
  <Paragraphs>17</Paragraphs>
  <TotalTime>7</TotalTime>
  <ScaleCrop>false</ScaleCrop>
  <LinksUpToDate>false</LinksUpToDate>
  <CharactersWithSpaces>12883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罗莎</cp:lastModifiedBy>
  <cp:lastPrinted>2022-08-08T17:11:00Z</cp:lastPrinted>
  <dcterms:modified xsi:type="dcterms:W3CDTF">2022-08-26T08:28:33Z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5A33B1F3B9C149BB9176F234AE8109BA</vt:lpwstr>
  </property>
</Properties>
</file>