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雅安市水利局公共资源</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监管权力责任清单（样表）</w:t>
      </w:r>
    </w:p>
    <w:tbl>
      <w:tblPr>
        <w:tblStyle w:val="5"/>
        <w:tblW w:w="91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序号</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权力类型</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权力项目名称</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水利工程建设项目招投标备案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责任主体</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规划计划与建设管理科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责任事项</w:t>
            </w:r>
          </w:p>
        </w:tc>
        <w:tc>
          <w:tcPr>
            <w:tcW w:w="7561" w:type="dxa"/>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w:t>
            </w:r>
            <w:r>
              <w:rPr>
                <w:rFonts w:ascii="宋体" w:hAnsi="宋体" w:eastAsia="宋体" w:cs="仿宋_GB2312"/>
                <w:sz w:val="21"/>
                <w:szCs w:val="21"/>
              </w:rPr>
              <w:t>立项责任：</w:t>
            </w:r>
            <w:r>
              <w:rPr>
                <w:rFonts w:hint="eastAsia" w:ascii="宋体" w:hAnsi="宋体" w:eastAsia="宋体" w:cs="仿宋_GB2312"/>
                <w:sz w:val="21"/>
                <w:szCs w:val="21"/>
              </w:rPr>
              <w:t>招标人或招标代理机构将备案材料逐项报招标事项核准部门和有关行政主管部门备案审查。</w:t>
            </w:r>
            <w:r>
              <w:rPr>
                <w:rFonts w:ascii="宋体" w:hAnsi="宋体" w:eastAsia="宋体" w:cs="仿宋_GB2312"/>
                <w:sz w:val="21"/>
                <w:szCs w:val="21"/>
              </w:rPr>
              <w:t xml:space="preserve">                                    </w:t>
            </w:r>
          </w:p>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2.</w:t>
            </w:r>
            <w:r>
              <w:rPr>
                <w:rFonts w:ascii="宋体" w:hAnsi="宋体" w:eastAsia="宋体" w:cs="仿宋_GB2312"/>
                <w:sz w:val="21"/>
                <w:szCs w:val="21"/>
              </w:rPr>
              <w:t>审查责任：</w:t>
            </w:r>
            <w:r>
              <w:rPr>
                <w:rFonts w:hint="eastAsia" w:ascii="宋体" w:hAnsi="宋体" w:eastAsia="宋体" w:cs="仿宋_GB2312"/>
                <w:sz w:val="21"/>
                <w:szCs w:val="21"/>
              </w:rPr>
              <w:t>在备案审查过程中发现招标文件（资格预审文件）不符合有关规定的，应要求招标人（招标代理机构）予以补充、修改，并在规定时间内完成备案审查工作。</w:t>
            </w:r>
            <w:r>
              <w:rPr>
                <w:rFonts w:ascii="宋体" w:hAnsi="宋体" w:eastAsia="宋体" w:cs="仿宋_GB2312"/>
                <w:sz w:val="21"/>
                <w:szCs w:val="21"/>
              </w:rPr>
              <w:t xml:space="preserve">    </w:t>
            </w:r>
          </w:p>
          <w:p>
            <w:pPr>
              <w:spacing w:line="440" w:lineRule="exact"/>
              <w:rPr>
                <w:rFonts w:ascii="宋体" w:hAnsi="宋体" w:eastAsia="宋体" w:cs="仿宋_GB2312"/>
                <w:sz w:val="21"/>
                <w:szCs w:val="21"/>
              </w:rPr>
            </w:pPr>
            <w:r>
              <w:rPr>
                <w:rFonts w:hint="eastAsia" w:ascii="宋体" w:hAnsi="宋体" w:eastAsia="宋体" w:cs="仿宋_GB2312"/>
                <w:sz w:val="21"/>
                <w:szCs w:val="21"/>
              </w:rPr>
              <w:t>3.</w:t>
            </w:r>
            <w:r>
              <w:rPr>
                <w:rFonts w:ascii="宋体" w:hAnsi="宋体" w:eastAsia="宋体" w:cs="仿宋_GB2312"/>
                <w:sz w:val="21"/>
                <w:szCs w:val="21"/>
              </w:rPr>
              <w:t>其他责任：</w:t>
            </w:r>
            <w:r>
              <w:rPr>
                <w:rFonts w:hint="eastAsia" w:ascii="宋体" w:hAnsi="宋体" w:eastAsia="宋体" w:cs="仿宋_GB2312"/>
                <w:sz w:val="21"/>
                <w:szCs w:val="21"/>
              </w:rPr>
              <w:t>法律法规规定的其他责任。</w:t>
            </w:r>
            <w:r>
              <w:rPr>
                <w:rFonts w:ascii="宋体" w:hAnsi="宋体" w:eastAsia="宋体"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追责情形</w:t>
            </w:r>
          </w:p>
        </w:tc>
        <w:tc>
          <w:tcPr>
            <w:tcW w:w="7561" w:type="dxa"/>
            <w:noWrap w:val="0"/>
            <w:vAlign w:val="center"/>
          </w:tcPr>
          <w:p>
            <w:pPr>
              <w:spacing w:line="440" w:lineRule="exact"/>
              <w:rPr>
                <w:rFonts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招标投标法》、《行政机关公务员处分条例》、《四川省行政行政机关工作人员行政过错责任追究试行办法》、《四川省行政执法监督条例》、</w:t>
            </w:r>
            <w:r>
              <w:rPr>
                <w:rFonts w:ascii="宋体" w:hAnsi="宋体" w:eastAsia="宋体" w:cs="仿宋_GB2312"/>
                <w:sz w:val="21"/>
                <w:szCs w:val="21"/>
              </w:rPr>
              <w:t>《水利工程建设项目招标投标管理规定》</w:t>
            </w:r>
            <w:r>
              <w:rPr>
                <w:rFonts w:hint="eastAsia" w:ascii="宋体" w:hAnsi="宋体" w:eastAsia="宋体" w:cs="仿宋_GB2312"/>
                <w:sz w:val="21"/>
                <w:szCs w:val="21"/>
              </w:rPr>
              <w:t>、《四川省人民政府关于严格规范国家投资工程建设项目招标投标工作的意见》等法律法规规章的相关规定追究相应的责任。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监督电话</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0835 2222130</w:t>
            </w:r>
          </w:p>
        </w:tc>
      </w:tr>
    </w:tbl>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spacing w:line="440" w:lineRule="exact"/>
        <w:jc w:val="center"/>
        <w:rPr>
          <w:rFonts w:hint="eastAsia" w:ascii="宋体" w:hAnsi="宋体" w:eastAsia="宋体" w:cs="仿宋_GB2312"/>
          <w:sz w:val="21"/>
          <w:szCs w:val="21"/>
        </w:rPr>
      </w:pPr>
    </w:p>
    <w:p>
      <w:pPr>
        <w:tabs>
          <w:tab w:val="left" w:pos="271"/>
        </w:tabs>
        <w:spacing w:line="440" w:lineRule="exact"/>
        <w:jc w:val="left"/>
        <w:rPr>
          <w:rFonts w:hint="eastAsia" w:ascii="宋体" w:hAnsi="宋体" w:eastAsia="宋体" w:cs="仿宋_GB2312"/>
          <w:sz w:val="21"/>
          <w:szCs w:val="21"/>
          <w:lang w:eastAsia="zh-CN"/>
        </w:rPr>
      </w:pPr>
    </w:p>
    <w:tbl>
      <w:tblPr>
        <w:tblStyle w:val="5"/>
        <w:tblW w:w="91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序号</w:t>
            </w:r>
          </w:p>
        </w:tc>
        <w:tc>
          <w:tcPr>
            <w:tcW w:w="7561" w:type="dxa"/>
            <w:noWrap w:val="0"/>
            <w:vAlign w:val="center"/>
          </w:tcPr>
          <w:p>
            <w:pPr>
              <w:spacing w:line="440" w:lineRule="exact"/>
              <w:jc w:val="center"/>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权力类型</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权力项目名称</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水利工程建设项目招投标活动投诉受理及处理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责任主体</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规划计划与建设管理科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责任事项</w:t>
            </w:r>
          </w:p>
        </w:tc>
        <w:tc>
          <w:tcPr>
            <w:tcW w:w="7561" w:type="dxa"/>
            <w:noWrap w:val="0"/>
            <w:vAlign w:val="center"/>
          </w:tcPr>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1.受理环节责任：对水利工程项目招标投诉或纠纷事项进行初步了解，确定是否受理范围，依法作出受理或不受理决定。</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2.调查环节责任：对投诉或纠纷事项进行调查，充分收集证据，弄清事实真相,纠纷事由,双方诉求，找出调解的思路和方法。 </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3.处理环节责任：公平、公正地处理投诉事件的，要在法定期限内依法作出裁决并告知当事人救济权利与渠道。</w:t>
            </w:r>
          </w:p>
          <w:p>
            <w:pPr>
              <w:numPr>
                <w:ilvl w:val="0"/>
                <w:numId w:val="0"/>
              </w:numPr>
              <w:spacing w:line="440" w:lineRule="exact"/>
              <w:rPr>
                <w:rFonts w:ascii="宋体" w:hAnsi="宋体" w:eastAsia="宋体" w:cs="仿宋_GB2312"/>
                <w:sz w:val="21"/>
                <w:szCs w:val="21"/>
              </w:rPr>
            </w:pPr>
            <w:r>
              <w:rPr>
                <w:rFonts w:hint="eastAsia" w:ascii="宋体" w:hAnsi="宋体" w:eastAsia="宋体" w:cs="仿宋_GB2312"/>
                <w:kern w:val="2"/>
                <w:sz w:val="21"/>
                <w:szCs w:val="21"/>
                <w:lang w:val="en-US" w:eastAsia="zh-CN" w:bidi="ar-SA"/>
              </w:rPr>
              <w:t>4.其他法律法规政策规定应履行的责任。</w:t>
            </w:r>
            <w:r>
              <w:rPr>
                <w:rFonts w:ascii="宋体" w:hAnsi="宋体" w:eastAsia="宋体"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追责情形</w:t>
            </w:r>
          </w:p>
        </w:tc>
        <w:tc>
          <w:tcPr>
            <w:tcW w:w="7561" w:type="dxa"/>
            <w:noWrap w:val="0"/>
            <w:vAlign w:val="center"/>
          </w:tcPr>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rPr>
              <w:t>因不履行或不正确履行行政职责，有下列情形的，主管部门及其工作人员应承担相应责任</w:t>
            </w:r>
            <w:r>
              <w:rPr>
                <w:rFonts w:hint="eastAsia" w:ascii="宋体" w:hAnsi="宋体" w:eastAsia="宋体" w:cs="仿宋_GB2312"/>
                <w:sz w:val="21"/>
                <w:szCs w:val="21"/>
                <w:lang w:eastAsia="zh-CN"/>
              </w:rPr>
              <w:t>：</w:t>
            </w:r>
            <w:r>
              <w:rPr>
                <w:rFonts w:hint="eastAsia" w:ascii="宋体" w:hAnsi="宋体" w:eastAsia="宋体" w:cs="仿宋_GB2312"/>
                <w:sz w:val="21"/>
                <w:szCs w:val="21"/>
              </w:rPr>
              <w:t>1.对应当对水利工程项目招标投标投诉予以处理的，致使公民.法人或者其他组织的合法权益加重损害的</w:t>
            </w:r>
            <w:r>
              <w:rPr>
                <w:rFonts w:hint="eastAsia" w:ascii="宋体" w:hAnsi="宋体" w:eastAsia="宋体" w:cs="仿宋_GB2312"/>
                <w:sz w:val="21"/>
                <w:szCs w:val="21"/>
                <w:lang w:eastAsia="zh-CN"/>
              </w:rPr>
              <w:t>。</w:t>
            </w:r>
            <w:r>
              <w:rPr>
                <w:rFonts w:hint="eastAsia" w:ascii="宋体" w:hAnsi="宋体" w:eastAsia="宋体" w:cs="仿宋_GB2312"/>
                <w:sz w:val="21"/>
                <w:szCs w:val="21"/>
              </w:rPr>
              <w:t>2.没有法律或者事实依据实施行政调解的</w:t>
            </w:r>
            <w:r>
              <w:rPr>
                <w:rFonts w:hint="eastAsia" w:ascii="宋体" w:hAnsi="宋体" w:eastAsia="宋体" w:cs="仿宋_GB2312"/>
                <w:sz w:val="21"/>
                <w:szCs w:val="21"/>
                <w:lang w:eastAsia="zh-CN"/>
              </w:rPr>
              <w:t>。</w:t>
            </w:r>
            <w:r>
              <w:rPr>
                <w:rFonts w:hint="eastAsia" w:ascii="宋体" w:hAnsi="宋体" w:eastAsia="宋体" w:cs="仿宋_GB2312"/>
                <w:sz w:val="21"/>
                <w:szCs w:val="21"/>
              </w:rPr>
              <w:t>3.未按法定程序或未遵循行政调解原则实施行政调解的</w:t>
            </w:r>
            <w:r>
              <w:rPr>
                <w:rFonts w:hint="eastAsia" w:ascii="宋体" w:hAnsi="宋体" w:eastAsia="宋体" w:cs="仿宋_GB2312"/>
                <w:sz w:val="21"/>
                <w:szCs w:val="21"/>
                <w:lang w:eastAsia="zh-CN"/>
              </w:rPr>
              <w:t>。</w:t>
            </w:r>
            <w:r>
              <w:rPr>
                <w:rFonts w:hint="eastAsia" w:ascii="宋体" w:hAnsi="宋体" w:eastAsia="宋体" w:cs="仿宋_GB2312"/>
                <w:sz w:val="21"/>
                <w:szCs w:val="21"/>
              </w:rPr>
              <w:t>4.未严格遵守办案纪律，接受当事人吃请和收受好处的</w:t>
            </w:r>
            <w:r>
              <w:rPr>
                <w:rFonts w:hint="eastAsia" w:ascii="宋体" w:hAnsi="宋体" w:eastAsia="宋体" w:cs="仿宋_GB2312"/>
                <w:sz w:val="21"/>
                <w:szCs w:val="21"/>
                <w:lang w:eastAsia="zh-CN"/>
              </w:rPr>
              <w:t>。</w:t>
            </w:r>
            <w:r>
              <w:rPr>
                <w:rFonts w:hint="eastAsia" w:ascii="宋体" w:hAnsi="宋体" w:eastAsia="宋体" w:cs="仿宋_GB2312"/>
                <w:sz w:val="21"/>
                <w:szCs w:val="21"/>
              </w:rPr>
              <w:t>5.其他违反法律法规政策规定的行为</w:t>
            </w:r>
            <w:r>
              <w:rPr>
                <w:rFonts w:hint="eastAsia" w:ascii="宋体" w:hAnsi="宋体" w:eastAsia="宋体"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监督电话</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0835 2222130</w:t>
            </w:r>
          </w:p>
        </w:tc>
      </w:tr>
    </w:tbl>
    <w:p>
      <w:pPr>
        <w:spacing w:line="440" w:lineRule="exact"/>
        <w:jc w:val="center"/>
        <w:rPr>
          <w:rFonts w:hint="eastAsia" w:ascii="宋体" w:hAnsi="宋体" w:eastAsia="宋体" w:cs="仿宋_GB2312"/>
          <w:sz w:val="21"/>
          <w:szCs w:val="21"/>
        </w:rPr>
      </w:pPr>
    </w:p>
    <w:p>
      <w:pPr>
        <w:spacing w:line="340" w:lineRule="exact"/>
        <w:rPr>
          <w:rFonts w:hint="eastAsia" w:ascii="仿宋" w:hAnsi="仿宋" w:eastAsia="仿宋" w:cs="仿宋_GB2312"/>
          <w:color w:val="FF0000"/>
          <w:szCs w:val="21"/>
        </w:rPr>
      </w:pPr>
    </w:p>
    <w:p>
      <w:pPr>
        <w:rPr>
          <w:rFonts w:hint="eastAsia"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spacing w:line="0" w:lineRule="atLeast"/>
        <w:rPr>
          <w:rFonts w:ascii="仿宋" w:hAnsi="仿宋" w:eastAsia="仿宋"/>
          <w:color w:val="FF0000"/>
          <w:szCs w:val="21"/>
        </w:rPr>
      </w:pPr>
    </w:p>
    <w:p>
      <w:pPr>
        <w:rPr>
          <w:szCs w:val="21"/>
        </w:rPr>
      </w:pPr>
    </w:p>
    <w:tbl>
      <w:tblPr>
        <w:tblStyle w:val="5"/>
        <w:tblW w:w="91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序号</w:t>
            </w:r>
          </w:p>
        </w:tc>
        <w:tc>
          <w:tcPr>
            <w:tcW w:w="7561" w:type="dxa"/>
            <w:noWrap w:val="0"/>
            <w:vAlign w:val="center"/>
          </w:tcPr>
          <w:p>
            <w:pPr>
              <w:spacing w:line="440" w:lineRule="exact"/>
              <w:jc w:val="center"/>
              <w:rPr>
                <w:rFonts w:hint="default" w:ascii="宋体" w:hAnsi="宋体" w:eastAsia="宋体" w:cs="仿宋_GB2312"/>
                <w:sz w:val="21"/>
                <w:szCs w:val="21"/>
                <w:lang w:val="en-US" w:eastAsia="zh-CN"/>
              </w:rPr>
            </w:pPr>
            <w:r>
              <w:rPr>
                <w:rFonts w:hint="eastAsia" w:ascii="宋体" w:hAnsi="宋体" w:eastAsia="宋体"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权力类型</w:t>
            </w:r>
          </w:p>
        </w:tc>
        <w:tc>
          <w:tcPr>
            <w:tcW w:w="7561" w:type="dxa"/>
            <w:noWrap w:val="0"/>
            <w:vAlign w:val="center"/>
          </w:tcPr>
          <w:p>
            <w:pPr>
              <w:spacing w:line="440" w:lineRule="exact"/>
              <w:jc w:val="center"/>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权力项目名称</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对水利工程建设项目招投标活动参与主体违法违规行为的处罚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责任主体</w:t>
            </w:r>
          </w:p>
        </w:tc>
        <w:tc>
          <w:tcPr>
            <w:tcW w:w="7561"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规划计划与建设管理科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责任事项</w:t>
            </w:r>
          </w:p>
        </w:tc>
        <w:tc>
          <w:tcPr>
            <w:tcW w:w="7561" w:type="dxa"/>
            <w:noWrap w:val="0"/>
            <w:vAlign w:val="center"/>
          </w:tcPr>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1.立案责任：通过举报、巡查（或者下级水务部门上报及其他机关移送的违法案件等），发现涉嫌未经批准违法建设的违法行为，予以审查，决定是否立案。                                                       2.调查取证责任：水利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 </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3.审理责任：审理案件调查报告，对案件违法事实、证据、调查取证程序、法律适用、处罚种类和幅度、当事人陈述和申辩理由等方面进行审查，提出处理意见（主要证据不足时，以适当的方式补充调查）。          </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4.告知责任：作出行政处罚决定前，应制作《行政处罚告知书》送达当事人，告知违法事实及其享有的陈述、申辩等权利。符合听证规定的，制作并送达《行政处罚听证告知书》。                                    </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5.决定责任：作出处罚决定，制作行政处罚决定书，载明行政处罚告知、当事人陈述申辩或者听证情况等内容。                             </w:t>
            </w:r>
            <w:bookmarkStart w:id="0" w:name="_GoBack"/>
            <w:bookmarkEnd w:id="0"/>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6.送达责任：行政处罚决定书应当在宣告后当场交付当事人；当事人不在场的，行政机关应当在七日内依照民事诉讼法的有关规定，将行政处罚决定书送达当事人。       </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7.执行责任：依照生效的行政处罚决定，自觉履行或强制执行。</w:t>
            </w:r>
          </w:p>
          <w:p>
            <w:pPr>
              <w:numPr>
                <w:ilvl w:val="0"/>
                <w:numId w:val="0"/>
              </w:numPr>
              <w:spacing w:line="440" w:lineRule="exact"/>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 xml:space="preserve">8.监管责任：对水事违法行为的监督检查。                                              </w:t>
            </w:r>
          </w:p>
          <w:p>
            <w:pPr>
              <w:numPr>
                <w:ilvl w:val="0"/>
                <w:numId w:val="0"/>
              </w:numPr>
              <w:spacing w:line="440" w:lineRule="exact"/>
              <w:rPr>
                <w:rFonts w:ascii="宋体" w:hAnsi="宋体" w:eastAsia="宋体" w:cs="仿宋_GB2312"/>
                <w:sz w:val="21"/>
                <w:szCs w:val="21"/>
              </w:rPr>
            </w:pPr>
            <w:r>
              <w:rPr>
                <w:rFonts w:hint="eastAsia" w:ascii="宋体" w:hAnsi="宋体" w:eastAsia="宋体" w:cs="仿宋_GB2312"/>
                <w:kern w:val="2"/>
                <w:sz w:val="21"/>
                <w:szCs w:val="21"/>
                <w:lang w:val="en-US" w:eastAsia="zh-CN" w:bidi="ar-SA"/>
              </w:rPr>
              <w:t>9.其他法律法规规章文件规定应履行的其他责任。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追责情形</w:t>
            </w:r>
          </w:p>
        </w:tc>
        <w:tc>
          <w:tcPr>
            <w:tcW w:w="7561" w:type="dxa"/>
            <w:noWrap w:val="0"/>
            <w:vAlign w:val="center"/>
          </w:tcPr>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rPr>
              <w:t>对不履行或不正确履行行政职责的行政机关及其工作人员，依据《中华人民共和国行政监察法》、《中华人民共和国招标投标法》、《</w:t>
            </w:r>
            <w:r>
              <w:rPr>
                <w:rFonts w:hint="eastAsia" w:ascii="宋体" w:hAnsi="宋体" w:eastAsia="宋体" w:cs="仿宋_GB2312"/>
                <w:sz w:val="21"/>
                <w:szCs w:val="21"/>
                <w:lang w:eastAsia="zh-CN"/>
              </w:rPr>
              <w:t>中华人民共和国行政处罚法</w:t>
            </w:r>
            <w:r>
              <w:rPr>
                <w:rFonts w:hint="eastAsia" w:ascii="宋体" w:hAnsi="宋体" w:eastAsia="宋体" w:cs="仿宋_GB2312"/>
                <w:sz w:val="21"/>
                <w:szCs w:val="21"/>
              </w:rPr>
              <w:t>》、《</w:t>
            </w:r>
            <w:r>
              <w:rPr>
                <w:rFonts w:hint="eastAsia" w:ascii="宋体" w:hAnsi="宋体" w:eastAsia="宋体" w:cs="仿宋_GB2312"/>
                <w:sz w:val="21"/>
                <w:szCs w:val="21"/>
                <w:lang w:eastAsia="zh-CN"/>
              </w:rPr>
              <w:t>行政机关公务员处罚条例</w:t>
            </w:r>
            <w:r>
              <w:rPr>
                <w:rFonts w:hint="eastAsia" w:ascii="宋体" w:hAnsi="宋体" w:eastAsia="宋体" w:cs="仿宋_GB2312"/>
                <w:sz w:val="21"/>
                <w:szCs w:val="21"/>
              </w:rPr>
              <w:t>》、《四川省</w:t>
            </w:r>
            <w:r>
              <w:rPr>
                <w:rFonts w:hint="eastAsia" w:ascii="宋体" w:hAnsi="宋体" w:eastAsia="宋体" w:cs="仿宋_GB2312"/>
                <w:sz w:val="21"/>
                <w:szCs w:val="21"/>
                <w:lang w:eastAsia="zh-CN"/>
              </w:rPr>
              <w:t>行政审批违法违纪行为责任追究办法</w:t>
            </w:r>
            <w:r>
              <w:rPr>
                <w:rFonts w:hint="eastAsia" w:ascii="宋体" w:hAnsi="宋体" w:eastAsia="宋体" w:cs="仿宋_GB2312"/>
                <w:sz w:val="21"/>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59" w:type="dxa"/>
            <w:noWrap w:val="0"/>
            <w:vAlign w:val="center"/>
          </w:tcPr>
          <w:p>
            <w:pPr>
              <w:spacing w:line="440" w:lineRule="exact"/>
              <w:jc w:val="center"/>
              <w:rPr>
                <w:rFonts w:ascii="宋体" w:hAnsi="宋体" w:eastAsia="宋体" w:cs="仿宋_GB2312"/>
                <w:sz w:val="21"/>
                <w:szCs w:val="21"/>
              </w:rPr>
            </w:pPr>
            <w:r>
              <w:rPr>
                <w:rFonts w:hint="eastAsia" w:ascii="宋体" w:hAnsi="宋体" w:eastAsia="宋体" w:cs="仿宋_GB2312"/>
                <w:sz w:val="21"/>
                <w:szCs w:val="21"/>
              </w:rPr>
              <w:t>监督电话</w:t>
            </w:r>
          </w:p>
        </w:tc>
        <w:tc>
          <w:tcPr>
            <w:tcW w:w="7561" w:type="dxa"/>
            <w:noWrap w:val="0"/>
            <w:vAlign w:val="center"/>
          </w:tcPr>
          <w:p>
            <w:pPr>
              <w:tabs>
                <w:tab w:val="center" w:pos="3732"/>
                <w:tab w:val="left" w:pos="5096"/>
              </w:tabs>
              <w:spacing w:line="440" w:lineRule="exact"/>
              <w:jc w:val="lef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ab/>
            </w:r>
            <w:r>
              <w:rPr>
                <w:rFonts w:hint="eastAsia" w:ascii="宋体" w:hAnsi="宋体" w:eastAsia="宋体" w:cs="仿宋_GB2312"/>
                <w:sz w:val="21"/>
                <w:szCs w:val="21"/>
              </w:rPr>
              <w:t>0835 2222130</w:t>
            </w:r>
            <w:r>
              <w:rPr>
                <w:rFonts w:hint="eastAsia" w:ascii="宋体" w:hAnsi="宋体" w:eastAsia="宋体" w:cs="仿宋_GB2312"/>
                <w:sz w:val="21"/>
                <w:szCs w:val="21"/>
                <w:lang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922A3"/>
    <w:rsid w:val="1F9922A3"/>
    <w:rsid w:val="2B07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2019-07-17T03:19:00Z</dcterms:created>
  <dc:creator>swj</dc:creator>
  <cp:lastModifiedBy>swj</cp:lastModifiedBy>
  <dcterms:modified xsi:type="dcterms:W3CDTF">2019-07-19T01:11:05Z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